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泸州市中医医院</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kern w:val="2"/>
          <w:sz w:val="32"/>
          <w:szCs w:val="32"/>
          <w:lang w:val="en-US" w:eastAsia="zh-CN"/>
        </w:rPr>
        <w:t>城南院区污水处理服务</w:t>
      </w:r>
      <w:r>
        <w:rPr>
          <w:rFonts w:hint="eastAsia" w:ascii="仿宋_GB2312" w:hAnsi="仿宋_GB2312" w:eastAsia="仿宋_GB2312" w:cs="仿宋_GB2312"/>
          <w:b/>
          <w:kern w:val="2"/>
          <w:sz w:val="32"/>
          <w:szCs w:val="32"/>
        </w:rPr>
        <w:t>项目</w:t>
      </w:r>
      <w:r>
        <w:rPr>
          <w:rFonts w:hint="eastAsia" w:ascii="仿宋_GB2312" w:hAnsi="仿宋_GB2312" w:eastAsia="仿宋_GB2312" w:cs="仿宋_GB2312"/>
          <w:b/>
          <w:sz w:val="32"/>
          <w:szCs w:val="32"/>
        </w:rPr>
        <w:t>采购需求</w:t>
      </w:r>
    </w:p>
    <w:p>
      <w:pPr>
        <w:rPr>
          <w:rFonts w:hint="eastAsia" w:eastAsia="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1、项目名称：泸州市中医医院城南院区污水处理服务项目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2、项目所属分类：☑服务 □货物 □工程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3、合同预算金额：</w:t>
      </w:r>
      <w:r>
        <w:rPr>
          <w:rFonts w:hint="eastAsia" w:ascii="宋体" w:hAnsi="宋体" w:eastAsia="宋体" w:cs="宋体"/>
          <w:sz w:val="24"/>
          <w:szCs w:val="24"/>
          <w:u w:val="single"/>
          <w:lang w:val="en-US" w:eastAsia="zh-CN"/>
        </w:rPr>
        <w:t>160</w:t>
      </w:r>
      <w:r>
        <w:rPr>
          <w:rFonts w:hint="eastAsia" w:ascii="宋体" w:hAnsi="宋体" w:eastAsia="宋体" w:cs="宋体"/>
          <w:sz w:val="24"/>
          <w:szCs w:val="24"/>
          <w:lang w:val="en-US" w:eastAsia="zh-CN"/>
        </w:rPr>
        <w:t>万元</w:t>
      </w:r>
    </w:p>
    <w:p>
      <w:pPr>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4、服务期限：</w:t>
      </w:r>
      <w:r>
        <w:rPr>
          <w:rFonts w:hint="eastAsia" w:ascii="宋体" w:hAnsi="宋体" w:eastAsia="宋体" w:cs="宋体"/>
          <w:b w:val="0"/>
          <w:bCs/>
          <w:sz w:val="24"/>
          <w:szCs w:val="24"/>
        </w:rPr>
        <w:t>服务期三年</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自2026年4月1日起至2029年3月31日止</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，实际结算金额达到</w:t>
      </w:r>
      <w:r>
        <w:rPr>
          <w:rFonts w:hint="eastAsia" w:ascii="宋体" w:hAnsi="宋体" w:eastAsia="宋体" w:cs="宋体"/>
          <w:b w:val="0"/>
          <w:bCs/>
          <w:sz w:val="24"/>
          <w:szCs w:val="24"/>
          <w:lang w:val="en-US" w:eastAsia="zh-CN"/>
        </w:rPr>
        <w:t>合同金额</w:t>
      </w:r>
      <w:r>
        <w:rPr>
          <w:rFonts w:hint="eastAsia" w:ascii="宋体" w:hAnsi="宋体" w:eastAsia="宋体" w:cs="宋体"/>
          <w:b w:val="0"/>
          <w:bCs/>
          <w:sz w:val="24"/>
          <w:szCs w:val="24"/>
        </w:rPr>
        <w:t>或服务期达到三年时，合同</w:t>
      </w:r>
      <w:r>
        <w:rPr>
          <w:rFonts w:hint="eastAsia" w:ascii="宋体" w:hAnsi="宋体" w:eastAsia="宋体" w:cs="宋体"/>
          <w:b w:val="0"/>
          <w:bCs/>
          <w:sz w:val="24"/>
          <w:szCs w:val="24"/>
          <w:lang w:val="en-US" w:eastAsia="zh-CN"/>
        </w:rPr>
        <w:t>自动终止（以先到者为准）</w:t>
      </w:r>
      <w:r>
        <w:rPr>
          <w:rFonts w:hint="eastAsia" w:ascii="宋体" w:hAnsi="宋体" w:eastAsia="宋体" w:cs="宋体"/>
          <w:b w:val="0"/>
          <w:bCs/>
          <w:sz w:val="24"/>
          <w:szCs w:val="24"/>
        </w:rPr>
        <w:t>。</w:t>
      </w:r>
    </w:p>
    <w:p>
      <w:pPr>
        <w:pStyle w:val="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5、联系人：后勤保障部 陈</w:t>
      </w:r>
      <w:r>
        <w:rPr>
          <w:rFonts w:hint="eastAsia" w:ascii="宋体" w:hAnsi="宋体" w:cs="宋体"/>
          <w:sz w:val="24"/>
          <w:szCs w:val="24"/>
          <w:lang w:val="en-US" w:eastAsia="zh-CN"/>
        </w:rPr>
        <w:t>先生</w:t>
      </w:r>
      <w:r>
        <w:rPr>
          <w:rFonts w:hint="eastAsia" w:ascii="宋体" w:hAnsi="宋体" w:eastAsia="宋体" w:cs="宋体"/>
          <w:sz w:val="24"/>
          <w:szCs w:val="24"/>
          <w:lang w:val="en-US" w:eastAsia="zh-CN"/>
        </w:rPr>
        <w:t xml:space="preserve"> 18181174201</w:t>
      </w:r>
    </w:p>
    <w:p>
      <w:pPr>
        <w:pStyle w:val="6"/>
        <w:spacing w:line="360" w:lineRule="auto"/>
        <w:ind w:firstLine="480" w:firstLineChars="200"/>
        <w:rPr>
          <w:rFonts w:hint="eastAsia" w:ascii="宋体" w:hAnsi="宋体" w:eastAsia="宋体" w:cs="宋体"/>
          <w:color w:val="4F81BD" w:themeColor="accent1"/>
          <w:sz w:val="24"/>
          <w:szCs w:val="24"/>
          <w:u w:val="single"/>
          <w:lang w:val="en-US" w:eastAsia="zh-CN"/>
          <w14:textFill>
            <w14:solidFill>
              <w14:schemeClr w14:val="accent1"/>
            </w14:solidFill>
          </w14:textFill>
        </w:rPr>
      </w:pPr>
      <w:r>
        <w:rPr>
          <w:rFonts w:hint="eastAsia" w:ascii="宋体" w:hAnsi="宋体" w:eastAsia="宋体" w:cs="宋体"/>
          <w:color w:val="auto"/>
          <w:sz w:val="24"/>
          <w:szCs w:val="24"/>
          <w:lang w:val="en-US" w:eastAsia="zh-CN"/>
        </w:rPr>
        <w:t>6、项目概况：城南院区污水处理服务包含城南院区污水处理站（总站）一座，中医特色项目地埋式一体化污水处理设施一套（包含设备间）</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城南院区污水处理站于2022年3月正式投入使用至今已运行3年有余，所有设备运行正常，中医特色项目地埋式一体化污水处理设施</w:t>
      </w:r>
      <w:r>
        <w:rPr>
          <w:rFonts w:hint="eastAsia" w:ascii="宋体" w:hAnsi="宋体" w:eastAsia="宋体" w:cs="宋体"/>
          <w:color w:val="auto"/>
          <w:sz w:val="24"/>
          <w:szCs w:val="24"/>
          <w:highlight w:val="none"/>
          <w:lang w:val="en-US" w:eastAsia="zh-CN"/>
        </w:rPr>
        <w:t>暂未启用，中医特色项目医疗污水经处理后排入城南院区污水处理站统一处理后排放，城南院区污水处理站设计最大日处理量为1000m³/d，为一级处理工艺，中医特色项目公卫楼一体化地埋式污水处理设施设计日处理量为30m³/d，为二级处理工艺，目前</w:t>
      </w:r>
      <w:r>
        <w:rPr>
          <w:rFonts w:hint="eastAsia" w:ascii="宋体" w:hAnsi="宋体" w:cs="宋体"/>
          <w:color w:val="auto"/>
          <w:sz w:val="24"/>
          <w:szCs w:val="24"/>
          <w:highlight w:val="none"/>
          <w:lang w:val="en-US" w:eastAsia="zh-CN"/>
        </w:rPr>
        <w:t>城南院区除行政楼外</w:t>
      </w:r>
      <w:r>
        <w:rPr>
          <w:rFonts w:hint="eastAsia" w:ascii="宋体" w:hAnsi="宋体" w:eastAsia="宋体" w:cs="宋体"/>
          <w:color w:val="auto"/>
          <w:sz w:val="24"/>
          <w:szCs w:val="24"/>
          <w:highlight w:val="none"/>
          <w:lang w:val="en-US" w:eastAsia="zh-CN"/>
        </w:rPr>
        <w:t>年处理污水量</w:t>
      </w:r>
      <w:r>
        <w:rPr>
          <w:rFonts w:hint="eastAsia" w:ascii="宋体" w:hAnsi="宋体" w:cs="宋体"/>
          <w:color w:val="auto"/>
          <w:sz w:val="24"/>
          <w:szCs w:val="24"/>
          <w:highlight w:val="none"/>
          <w:lang w:val="en-US" w:eastAsia="zh-CN"/>
        </w:rPr>
        <w:t>共</w:t>
      </w:r>
      <w:r>
        <w:rPr>
          <w:rFonts w:hint="eastAsia" w:ascii="宋体" w:hAnsi="宋体" w:eastAsia="宋体" w:cs="宋体"/>
          <w:color w:val="auto"/>
          <w:sz w:val="24"/>
          <w:szCs w:val="24"/>
          <w:highlight w:val="none"/>
          <w:lang w:val="en-US" w:eastAsia="zh-CN"/>
        </w:rPr>
        <w:t>约127000m³/年，预计公卫楼污水处理站处理量5500m³/年，康复楼新开区域处理量9000m³/年，预计总处理量141500m³/年，消耗次氯酸钠消毒剂使用量约66吨（日常余氯监测值稳定在4.</w:t>
      </w:r>
      <w:r>
        <w:rPr>
          <w:rFonts w:hint="eastAsia" w:ascii="宋体" w:hAnsi="宋体" w:eastAsia="宋体" w:cs="宋体"/>
          <w:color w:val="auto"/>
          <w:sz w:val="24"/>
          <w:szCs w:val="24"/>
          <w:lang w:val="en-US" w:eastAsia="zh-CN"/>
        </w:rPr>
        <w:t>5mg/L），PAC絮凝剂7吨/年，PAM（聚丙烯酰胺）1吨/年，日平均住院人员600人，每日门诊人数约450人。</w:t>
      </w:r>
      <w:r>
        <w:rPr>
          <w:rFonts w:hint="eastAsia" w:ascii="宋体" w:hAnsi="宋体" w:eastAsia="宋体" w:cs="宋体"/>
          <w:color w:val="auto"/>
          <w:sz w:val="24"/>
          <w:szCs w:val="24"/>
          <w:u w:val="none"/>
          <w:lang w:val="en-US" w:eastAsia="zh-CN"/>
        </w:rPr>
        <w:t>本项目不组织统一的现场踏勘。供应商如对项目现场有踏勘需要，请自行前往并承担相关费用及安全责任。供应商应基于自身踏勘获取的现场信息进行投标决策，并对由此产生的判断负责。采购人不对供应商自行踏勘所获信息的准确性、完整性负责，亦不接受任何基于自行踏勘情况的质疑或索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、供应商应具备的资格条件</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4、参加本次采购活动前三年内，在经营活动中没有重大违法记录；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6、本项目不接受联合体参与投标。</w:t>
      </w:r>
    </w:p>
    <w:p>
      <w:pPr>
        <w:spacing w:line="360" w:lineRule="auto"/>
        <w:jc w:val="left"/>
        <w:rPr>
          <w:rFonts w:hint="eastAsia" w:ascii="宋体" w:hAnsi="宋体" w:eastAsia="宋体" w:cs="宋体"/>
          <w:b/>
          <w:bCs/>
          <w:sz w:val="24"/>
          <w:szCs w:val="24"/>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、技术</w:t>
      </w:r>
      <w:r>
        <w:rPr>
          <w:rFonts w:hint="eastAsia" w:ascii="宋体" w:hAnsi="宋体" w:eastAsia="宋体" w:cs="宋体"/>
          <w:b/>
          <w:bCs/>
          <w:sz w:val="24"/>
          <w:szCs w:val="24"/>
          <w:lang w:val="en-US" w:eastAsia="zh-CN"/>
        </w:rPr>
        <w:t>服务要求：</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1、运营服务范围</w:t>
      </w:r>
    </w:p>
    <w:p>
      <w:pPr>
        <w:spacing w:line="360" w:lineRule="auto"/>
        <w:ind w:firstLine="480" w:firstLineChars="200"/>
        <w:jc w:val="left"/>
        <w:rPr>
          <w:rFonts w:hint="eastAsia" w:ascii="宋体" w:hAnsi="宋体" w:eastAsia="宋体" w:cs="宋体"/>
          <w:b/>
          <w:bCs/>
          <w:sz w:val="24"/>
          <w:szCs w:val="24"/>
          <w:u w:val="single"/>
          <w:lang w:val="en-US" w:eastAsia="zh-CN"/>
        </w:rPr>
      </w:pPr>
      <w:r>
        <w:rPr>
          <w:rFonts w:hint="eastAsia" w:ascii="宋体" w:hAnsi="宋体" w:eastAsia="宋体" w:cs="宋体"/>
          <w:sz w:val="24"/>
          <w:szCs w:val="24"/>
          <w:lang w:val="en-US" w:eastAsia="zh-CN"/>
        </w:rPr>
        <w:t>负责城南院区污水处理站运行维护工作</w:t>
      </w:r>
    </w:p>
    <w:p>
      <w:pPr>
        <w:numPr>
          <w:ilvl w:val="0"/>
          <w:numId w:val="0"/>
        </w:num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lang w:val="en-US" w:eastAsia="zh-CN"/>
        </w:rPr>
        <w:t>运营服务标准</w:t>
      </w:r>
    </w:p>
    <w:p>
      <w:p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按照相关行政主管部门要求，保证污水处理站的正常运行和污水达标排放。达到排污、排水许可证的要求以及其他法律法规的规定；另需满足如下标准与要求：</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《医疗机构水污染物排放标准》(GB18466-2005)中（表2）综合医疗机构和其他医疗机构水污染物排放限值(日均值)预处理标准；</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《城镇排水与污水处理条例》（国务院令第641号）；</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《城镇污水排入排水管网许可管理办法》（住房和城乡建设部令2015第21号）；</w:t>
      </w:r>
    </w:p>
    <w:p>
      <w:pPr>
        <w:pStyle w:val="13"/>
        <w:numPr>
          <w:ilvl w:val="0"/>
          <w:numId w:val="0"/>
        </w:numPr>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bCs/>
          <w:sz w:val="24"/>
          <w:szCs w:val="24"/>
          <w:lang w:val="en-US" w:eastAsia="zh-CN"/>
        </w:rPr>
        <w:t>3、运营服务要</w:t>
      </w:r>
      <w:r>
        <w:rPr>
          <w:rFonts w:hint="eastAsia" w:ascii="宋体" w:hAnsi="宋体" w:eastAsia="宋体" w:cs="宋体"/>
          <w:b/>
          <w:bCs/>
          <w:color w:val="auto"/>
          <w:sz w:val="24"/>
          <w:szCs w:val="24"/>
          <w:lang w:val="en-US" w:eastAsia="zh-CN"/>
        </w:rPr>
        <w:t>求</w:t>
      </w:r>
      <w:r>
        <w:rPr>
          <w:rFonts w:hint="eastAsia" w:ascii="宋体" w:hAnsi="宋体" w:eastAsia="宋体" w:cs="宋体"/>
          <w:color w:val="auto"/>
          <w:kern w:val="2"/>
          <w:sz w:val="24"/>
          <w:szCs w:val="24"/>
          <w:u w:val="none"/>
          <w:lang w:val="en-US" w:eastAsia="zh-CN" w:bidi="ar-SA"/>
        </w:rPr>
        <w:t>（实质性要求）</w:t>
      </w:r>
    </w:p>
    <w:p>
      <w:pPr>
        <w:pStyle w:val="13"/>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（1）此项目需要配置：维修操作人员、项目负责人、技术负责人；</w:t>
      </w:r>
    </w:p>
    <w:p>
      <w:pPr>
        <w:pStyle w:val="13"/>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项目现场驻点维</w:t>
      </w:r>
      <w:r>
        <w:rPr>
          <w:rFonts w:hint="eastAsia" w:ascii="宋体" w:hAnsi="宋体" w:eastAsia="宋体" w:cs="宋体"/>
          <w:color w:val="auto"/>
          <w:kern w:val="2"/>
          <w:sz w:val="24"/>
          <w:szCs w:val="24"/>
          <w:highlight w:val="none"/>
          <w:lang w:val="en-US" w:eastAsia="zh-CN" w:bidi="ar-SA"/>
        </w:rPr>
        <w:t>修操作人员不少于1名，现场实行24小时运行值守，院方有权对该人员进行考核（由采购人的污水处理专业负责人现场对操作人员以提问的方式进行考核），考核不合格供应商必须更换维修操作人员</w:t>
      </w:r>
      <w:r>
        <w:rPr>
          <w:rFonts w:hint="eastAsia" w:ascii="宋体" w:hAnsi="宋体" w:cs="宋体"/>
          <w:color w:val="auto"/>
          <w:kern w:val="2"/>
          <w:sz w:val="24"/>
          <w:szCs w:val="24"/>
          <w:highlight w:val="none"/>
          <w:lang w:val="en-US" w:eastAsia="zh-CN" w:bidi="ar-SA"/>
        </w:rPr>
        <w:t>，驻点</w:t>
      </w:r>
      <w:r>
        <w:rPr>
          <w:rFonts w:hint="eastAsia" w:ascii="宋体" w:hAnsi="宋体" w:eastAsia="宋体" w:cs="宋体"/>
          <w:color w:val="auto"/>
          <w:kern w:val="2"/>
          <w:sz w:val="24"/>
          <w:szCs w:val="24"/>
          <w:highlight w:val="none"/>
          <w:lang w:val="en-US" w:eastAsia="zh-CN" w:bidi="ar-SA"/>
        </w:rPr>
        <w:t>人员须身体健康，能适应24小时轮班值守及维修工作的体力要求，并能提供近期有效的体检健康证明，懂办公软件使用</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u w:val="none"/>
          <w:lang w:val="en-US" w:eastAsia="zh-CN" w:bidi="ar-SA"/>
        </w:rPr>
        <w:t>同时</w:t>
      </w:r>
      <w:r>
        <w:rPr>
          <w:rFonts w:hint="eastAsia" w:ascii="宋体" w:hAnsi="宋体" w:eastAsia="宋体" w:cs="宋体"/>
          <w:color w:val="auto"/>
          <w:kern w:val="2"/>
          <w:sz w:val="24"/>
          <w:szCs w:val="24"/>
          <w:highlight w:val="none"/>
          <w:u w:val="none"/>
          <w:lang w:val="en-US" w:eastAsia="zh-CN" w:bidi="ar-SA"/>
        </w:rPr>
        <w:t>具备低压电工作业证书（应急管理部门颁发）。</w:t>
      </w:r>
    </w:p>
    <w:p>
      <w:pPr>
        <w:pStyle w:val="13"/>
        <w:numPr>
          <w:ilvl w:val="0"/>
          <w:numId w:val="0"/>
        </w:numPr>
        <w:spacing w:line="360" w:lineRule="auto"/>
        <w:ind w:left="0" w:leftChars="0" w:firstLine="42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技术负责人1人（技术负责人应具有环境工程专业或环境保护专业或环境科学专业及类似环境相关专业的工程师职称或注册环保工程师证，提供证书和身份证复印件加盖公章）；</w:t>
      </w:r>
    </w:p>
    <w:p>
      <w:pPr>
        <w:pStyle w:val="13"/>
        <w:numPr>
          <w:ilvl w:val="0"/>
          <w:numId w:val="0"/>
        </w:numPr>
        <w:spacing w:line="360" w:lineRule="auto"/>
        <w:ind w:left="0" w:leftChars="0" w:firstLine="42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项目负责人1人（项目负责人需具备污水处理服务项目管理经验，提供业绩证明资料）；项目负责人与技术负责人与投标文件人员一致。</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（2）建立健全污水处理站管理制度、运营、维修、安全技术操作规程、污水处理流程图等。</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（3）根据医院相关要求开展应急演练（包括但不限于药剂泄漏、污水泄漏、污水处理不达标等突发事件的演练）每年应急演练不得低于2次，并以文档图片和视频方式留存。</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（4）负责制作更新污水处理站现场的安全警示标识、设备、工艺、环境标识标牌。</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（5）每季度对污水处理操作人员进行业务培训、设备管理及法律法规知识培训。</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eastAsia="宋体" w:cs="宋体"/>
          <w:color w:val="auto"/>
          <w:kern w:val="2"/>
          <w:sz w:val="24"/>
          <w:szCs w:val="24"/>
          <w:lang w:val="en-US" w:eastAsia="zh-CN" w:bidi="ar-SA"/>
        </w:rPr>
        <w:t>6）供应商按照《排污单位环境管理台账及排污许可证执行报告技术规范总则(试行)》要求，规范化建立纸质+电子“一企一档”，所需资料打印费用由乙方承担，每年年终统一将当年档案资料移交采购人；</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在运营期内，供应商随时接受各级部门的监督检查，按要求提供检查相关资料，并在规定时间内对检查中发现的问题进行整改，若因供应商原因导致采购人被环保、卫健等监管部门处罚，造成的一切损失由供应商承担，根据受罚情况，医院有权单方面解除合同并追究相关责任。</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按照相关要求填报相关行政主管部门管理平台数据、报告等（包括但不限于排污许可执行报告、四川省污染源监测信息管理与共享平台、重点排污单位自动监控与其础数据库系统等环保相关管理平台）所有平台记录需存电子档案与纸质档案，每月移交采购人；</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（9）污水处理操作人员长期接触带腐蚀性药剂且工作环境会接触废气、废水等危害因素，供应商需</w:t>
      </w:r>
      <w:r>
        <w:rPr>
          <w:rFonts w:hint="eastAsia" w:ascii="宋体" w:hAnsi="宋体" w:eastAsia="宋体" w:cs="宋体"/>
          <w:sz w:val="24"/>
          <w:szCs w:val="24"/>
          <w:u w:val="none"/>
          <w:lang w:val="en-US" w:eastAsia="zh-CN"/>
        </w:rPr>
        <w:t>提供站内一切应急物资及个人防护用品，做好职业病防治工作，供应商</w:t>
      </w:r>
      <w:r>
        <w:rPr>
          <w:rFonts w:hint="eastAsia" w:ascii="宋体" w:hAnsi="宋体" w:eastAsia="宋体" w:cs="宋体"/>
          <w:kern w:val="2"/>
          <w:sz w:val="24"/>
          <w:szCs w:val="24"/>
          <w:u w:val="none"/>
          <w:lang w:val="en-US" w:eastAsia="zh-CN" w:bidi="ar-SA"/>
        </w:rPr>
        <w:t>每</w:t>
      </w:r>
      <w:r>
        <w:rPr>
          <w:rFonts w:hint="eastAsia" w:ascii="宋体" w:hAnsi="宋体" w:eastAsia="宋体" w:cs="宋体"/>
          <w:kern w:val="2"/>
          <w:sz w:val="24"/>
          <w:szCs w:val="24"/>
          <w:lang w:val="en-US" w:eastAsia="zh-CN" w:bidi="ar-SA"/>
        </w:rPr>
        <w:t>年需对现场污水处理操作人员进行一次职业健康体检，并提供具备职业健康检查资质机构出具的职业健康体检报告，作为污水处理工作人员档案留存；</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供应商负责本项目产生的除医疗废物以外的危险废物处置工作，若供应商未按国家管理要求处置危险废物，产生的一切后果由供应商承担，对医院造成损失的将追究其相关责任并视情节轻重有权单方面解除合同；</w:t>
      </w:r>
    </w:p>
    <w:p>
      <w:pPr>
        <w:pStyle w:val="13"/>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(11)供应商需提供办公电脑一套，用于实时监测在线平台数据传输情况及日常办公使用，产权归属供应商，合同结束时可撤离，相关运营期间的数据营拷贝移交采购人；</w:t>
      </w:r>
    </w:p>
    <w:p>
      <w:pPr>
        <w:pStyle w:val="13"/>
        <w:numPr>
          <w:ilvl w:val="0"/>
          <w:numId w:val="0"/>
        </w:numPr>
        <w:spacing w:line="360" w:lineRule="auto"/>
        <w:ind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（12）由于中医特色项目公卫楼可能涉及传染性污水，传染性污水处理标准与综合医疗机构医疗污水处理标准不同，需单独处理，相关运营费用应包含在综合报价中，由供应商自行考虑。</w:t>
      </w:r>
    </w:p>
    <w:p>
      <w:pPr>
        <w:pStyle w:val="13"/>
        <w:numPr>
          <w:ilvl w:val="0"/>
          <w:numId w:val="0"/>
        </w:numPr>
        <w:spacing w:line="360" w:lineRule="auto"/>
        <w:ind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4、设施设备维修、维护、保养、故障、异常情况要求</w:t>
      </w:r>
    </w:p>
    <w:p>
      <w:pPr>
        <w:pStyle w:val="13"/>
        <w:numPr>
          <w:ilvl w:val="0"/>
          <w:numId w:val="0"/>
        </w:numPr>
        <w:spacing w:line="36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（1）在服务期内，污水处理站设备的日常保养、维修、维护相关费用由</w:t>
      </w:r>
      <w:r>
        <w:rPr>
          <w:rFonts w:hint="eastAsia" w:ascii="宋体" w:hAnsi="宋体" w:eastAsia="宋体" w:cs="宋体"/>
          <w:strike w:val="0"/>
          <w:dstrike w:val="0"/>
          <w:color w:val="auto"/>
          <w:kern w:val="2"/>
          <w:sz w:val="24"/>
          <w:szCs w:val="24"/>
          <w:lang w:val="en-US" w:eastAsia="zh-CN" w:bidi="ar-SA"/>
        </w:rPr>
        <w:t>供应商承担（若因人为操作因素和维保不到位导致的设备损坏由供应商承担，运营期内设备自然损坏由采购人自行承担）。</w:t>
      </w:r>
      <w:r>
        <w:rPr>
          <w:rFonts w:hint="eastAsia" w:ascii="宋体" w:hAnsi="宋体" w:eastAsia="宋体" w:cs="宋体"/>
          <w:color w:val="auto"/>
          <w:kern w:val="2"/>
          <w:sz w:val="24"/>
          <w:szCs w:val="24"/>
          <w:lang w:val="en-US" w:eastAsia="zh-CN" w:bidi="ar-SA"/>
        </w:rPr>
        <w:t>具体设备范围以设备清单为准（包括设备附件、附属设施及成套设备配件）。如因供应商运维过失导致设备停运的，其承担全部行政处罚及经济损失。</w:t>
      </w:r>
    </w:p>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设备日常保养、维修、维护清单</w:t>
      </w:r>
    </w:p>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城南院区（PPP项目）</w:t>
      </w:r>
    </w:p>
    <w:tbl>
      <w:tblPr>
        <w:tblStyle w:val="15"/>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产品名称</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运维设备数量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回转式机械格栅</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调节池提升泵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污泥提升泵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投加次氯酸钠隔膜计量泵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PAC加药装置</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PAM加药装置</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次氯酸钠储槽</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离子除臭设备</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数显液位传感器</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数采仪</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余氯在线检测仪</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COD在线检测仪</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氨氮在线检测仪</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活性炭吸附箱</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沉淀池污泥泵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屋顶工业排风机</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负楼管道风机</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自动控制柜</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污泥池口控制电箱</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超声波流量计</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药剂泵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2台</w:t>
            </w:r>
          </w:p>
        </w:tc>
      </w:tr>
    </w:tbl>
    <w:p>
      <w:pPr>
        <w:pStyle w:val="13"/>
        <w:numPr>
          <w:ilvl w:val="0"/>
          <w:numId w:val="0"/>
        </w:numPr>
        <w:spacing w:line="360" w:lineRule="auto"/>
        <w:ind w:leftChars="0"/>
        <w:jc w:val="both"/>
        <w:rPr>
          <w:rFonts w:hint="eastAsia" w:ascii="宋体" w:hAnsi="宋体" w:eastAsia="宋体" w:cs="宋体"/>
          <w:kern w:val="2"/>
          <w:sz w:val="24"/>
          <w:szCs w:val="24"/>
          <w:lang w:val="en-US" w:eastAsia="zh-CN" w:bidi="ar-SA"/>
        </w:rPr>
      </w:pPr>
    </w:p>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城南院区（中医特色项目）</w:t>
      </w:r>
    </w:p>
    <w:tbl>
      <w:tblPr>
        <w:tblStyle w:val="15"/>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产品名称</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运维设备数量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一体化预处理设备</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提升泵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污泥泵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液位计</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转子流量计</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空气搅拌系统</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溶液搅拌器</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加药计量泵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溶药剂桶</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风机</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自动控制柜</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bl>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p>
      <w:pPr>
        <w:pStyle w:val="13"/>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根据《水污染源在线监测系统(CODCr、WH3-N等)运行技术规范》《水污染源在线监测系统(CODCr、NH3-N等)验收技术规范》《水污染源在线监测系统(CODCr、NH3-N等)安装技术规范》等技术规范要求每年定期对超声波流量计、COD在线监测仪、氨氮在线监测仪进行一次比对监测并提供具备CMA认证资质的检测报告，对检测不合格的设备进行维修、调试或更换；每季度开展一次余氯在线监测仪监测数据比对监测，余氯监测采用HJ 586-2010,DPD分光光度法进行并出具余氯监测报告，对比对监测不合格的余氯在线监测仪进行维修或更换。上述费检测费用由供应商负责，维修</w:t>
      </w:r>
      <w:r>
        <w:rPr>
          <w:rFonts w:hint="eastAsia" w:ascii="宋体" w:hAnsi="宋体" w:eastAsia="宋体" w:cs="宋体"/>
          <w:kern w:val="2"/>
          <w:sz w:val="24"/>
          <w:szCs w:val="24"/>
          <w:highlight w:val="none"/>
          <w:lang w:val="en-US" w:eastAsia="zh-CN" w:bidi="ar-SA"/>
        </w:rPr>
        <w:t>与更换参照</w:t>
      </w:r>
      <w:r>
        <w:rPr>
          <w:rFonts w:hint="eastAsia" w:ascii="宋体" w:hAnsi="宋体" w:cs="宋体"/>
          <w:kern w:val="2"/>
          <w:sz w:val="24"/>
          <w:szCs w:val="24"/>
          <w:highlight w:val="none"/>
          <w:lang w:val="en-US" w:eastAsia="zh-CN" w:bidi="ar-SA"/>
        </w:rPr>
        <w:t>上述第（1）条</w:t>
      </w:r>
      <w:r>
        <w:rPr>
          <w:rFonts w:hint="eastAsia" w:ascii="宋体" w:hAnsi="宋体" w:eastAsia="宋体" w:cs="宋体"/>
          <w:kern w:val="2"/>
          <w:sz w:val="24"/>
          <w:szCs w:val="24"/>
          <w:highlight w:val="none"/>
          <w:lang w:val="en-US" w:eastAsia="zh-CN" w:bidi="ar-SA"/>
        </w:rPr>
        <w:t>执行。</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设备故障或者异常处理。污水处理站出现设施设备故障、数据异常或处理水质异常，供应商必须及时处理。所有故障及异常需在20分钟内响应4小时以内解决，遇特殊原因根据实际情况解决。故障排除前应有应急处理方案，对出现的所有问题的处理情况和结果必须在维修台账上如实、清晰地做好记录。</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（4）供应商每年对污水处理站内的除臭装置至少更换活性炭一次，活性炭的处置由采购人配合供应商</w:t>
      </w:r>
      <w:r>
        <w:rPr>
          <w:rFonts w:hint="eastAsia" w:ascii="宋体" w:hAnsi="宋体" w:cs="宋体"/>
          <w:kern w:val="2"/>
          <w:sz w:val="24"/>
          <w:szCs w:val="24"/>
          <w:lang w:val="en-US" w:eastAsia="zh-CN" w:bidi="ar-SA"/>
        </w:rPr>
        <w:t>进行</w:t>
      </w:r>
      <w:r>
        <w:rPr>
          <w:rFonts w:hint="eastAsia" w:ascii="宋体" w:hAnsi="宋体" w:eastAsia="宋体" w:cs="宋体"/>
          <w:kern w:val="2"/>
          <w:sz w:val="24"/>
          <w:szCs w:val="24"/>
          <w:lang w:val="en-US" w:eastAsia="zh-CN" w:bidi="ar-SA"/>
        </w:rPr>
        <w:t>，处置费用由供应商承担，处置完成后提供相关装运处置联单或记录并移交采购人。</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（5）供应商应在现场设置备件库，</w:t>
      </w:r>
      <w:r>
        <w:rPr>
          <w:rFonts w:hint="eastAsia" w:ascii="宋体" w:hAnsi="宋体" w:cs="宋体"/>
          <w:kern w:val="2"/>
          <w:sz w:val="24"/>
          <w:szCs w:val="24"/>
          <w:lang w:val="en-US" w:eastAsia="zh-CN" w:bidi="ar-SA"/>
        </w:rPr>
        <w:t>保证一直</w:t>
      </w:r>
      <w:r>
        <w:rPr>
          <w:rFonts w:hint="eastAsia" w:ascii="宋体" w:hAnsi="宋体" w:eastAsia="宋体" w:cs="宋体"/>
          <w:kern w:val="2"/>
          <w:sz w:val="24"/>
          <w:szCs w:val="24"/>
          <w:lang w:val="en-US" w:eastAsia="zh-CN" w:bidi="ar-SA"/>
        </w:rPr>
        <w:t>配备一定数量的易损件备件、常用维修工具等</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相关费用由供应商承担。</w:t>
      </w:r>
    </w:p>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易损设备及易损件备件清单</w:t>
      </w:r>
    </w:p>
    <w:tbl>
      <w:tblPr>
        <w:tblStyle w:val="15"/>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备件名称</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隔膜计量泵隔膜片</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隔膜计量泵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余氯电极探头</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污水采样泵</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中间继电器</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加药软管</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锂基耐高温型润滑脂</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工业排风机皮带</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消毒风箱紫外线灯管</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软连接</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3P10A D型空气开关</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3P32A D型空气开关</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9"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220V交流接触器</w:t>
            </w:r>
          </w:p>
        </w:tc>
        <w:tc>
          <w:tcPr>
            <w:tcW w:w="4275"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1个</w:t>
            </w:r>
          </w:p>
        </w:tc>
      </w:tr>
    </w:tbl>
    <w:p>
      <w:pPr>
        <w:pStyle w:val="13"/>
        <w:numPr>
          <w:numId w:val="0"/>
        </w:numPr>
        <w:spacing w:line="360" w:lineRule="auto"/>
        <w:ind w:left="420"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bookmarkStart w:id="3" w:name="_GoBack"/>
      <w:bookmarkEnd w:id="3"/>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根据污水处理站设施设备情况编制适应现场的维护保养计划并严格执行，做好维护保养记录。</w:t>
      </w:r>
    </w:p>
    <w:p>
      <w:pPr>
        <w:pStyle w:val="13"/>
        <w:numPr>
          <w:ilvl w:val="0"/>
          <w:numId w:val="1"/>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进场前，须与采购人共同进行现场设备勘查。双方应对设备现状进行共同确认并签署书面记录。若供应商发现设备存在故障、损坏，应现场向采购人提出。采购人须负责完成所有必要的维修或更换，待设备完全恢复正常运行状态后，方可正式移交给供应商进行后续作业。</w:t>
      </w:r>
    </w:p>
    <w:p>
      <w:pPr>
        <w:pStyle w:val="13"/>
        <w:numPr>
          <w:ilvl w:val="0"/>
          <w:numId w:val="1"/>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期终止时，供应商应确保污水处理站所有设施设备处于完好且可正常运行状态。若因供应商运维操作不当（非设备自然损耗或不可抗力）导致设备损坏或无法正常运行，供应商须在移交前完成修复；无法修复的，应按设备当前净值或重置价对采购人进行赔偿。移交时由双方共同验收并签署设备状态确认书。</w:t>
      </w:r>
    </w:p>
    <w:p>
      <w:pPr>
        <w:pStyle w:val="13"/>
        <w:numPr>
          <w:ilvl w:val="0"/>
          <w:numId w:val="1"/>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公卫楼产生感染性医疗废水时，同步开展设备公卫楼污水处理站设备运维服务。</w:t>
      </w:r>
    </w:p>
    <w:p>
      <w:pPr>
        <w:pStyle w:val="13"/>
        <w:numPr>
          <w:ilvl w:val="0"/>
          <w:numId w:val="0"/>
        </w:numPr>
        <w:spacing w:line="360" w:lineRule="auto"/>
        <w:ind w:left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5、在线监测设备管理要求</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需由专人对在线监测设备进行校准、调试、维护、保养、药剂更换等；在线设备运维采取责任制，如因维护、检修或巡察不当，造成设备出现问题（包括篡改仪表数据上传达到国家污水排放标准），导致数据上传错误或检测指标超标，由供应商承担全部责任，接受相关处罚。</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（2）供应商严格按照《水污染源在线监测系统(COD、NH3N等)运行技术规范》HJ 355-2019规定要求，对现场在线监测设备开展维护保养工作。</w:t>
      </w:r>
    </w:p>
    <w:p>
      <w:pPr>
        <w:pStyle w:val="13"/>
        <w:numPr>
          <w:ilvl w:val="0"/>
          <w:numId w:val="0"/>
        </w:numPr>
        <w:spacing w:line="360" w:lineRule="auto"/>
        <w:ind w:left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6、污水处理站水质分析化验、检验检测要求</w:t>
      </w:r>
    </w:p>
    <w:p>
      <w:pPr>
        <w:pStyle w:val="13"/>
        <w:numPr>
          <w:ilvl w:val="0"/>
          <w:numId w:val="0"/>
        </w:numPr>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1）根据《医疗机构水污染物排放标准》（GB18466-2005）表2规定和四川省卫生执法总队医疗机构污水处理指引内容及排污许可证副本所要求的检测内容及频次对医院污水进行检测（含废气废水排放检测项目），检测费用由供应商承担。应在取样检测后21日内取得</w:t>
      </w:r>
      <w:r>
        <w:rPr>
          <w:rFonts w:hint="eastAsia" w:ascii="宋体" w:hAnsi="宋体" w:eastAsia="宋体" w:cs="宋体"/>
          <w:color w:val="auto"/>
          <w:kern w:val="2"/>
          <w:sz w:val="24"/>
          <w:szCs w:val="24"/>
          <w:highlight w:val="none"/>
          <w:lang w:val="en-US" w:eastAsia="zh-CN" w:bidi="ar-SA"/>
        </w:rPr>
        <w:t>检测报告并提供2份报告原件，检测报告需具备第三方法定检测机构</w:t>
      </w:r>
      <w:r>
        <w:rPr>
          <w:rFonts w:hint="eastAsia" w:ascii="宋体" w:hAnsi="宋体" w:eastAsia="宋体" w:cs="宋体"/>
          <w:strike w:val="0"/>
          <w:dstrike w:val="0"/>
          <w:color w:val="auto"/>
          <w:kern w:val="2"/>
          <w:sz w:val="24"/>
          <w:szCs w:val="24"/>
          <w:highlight w:val="none"/>
          <w:lang w:val="en-US" w:eastAsia="zh-CN" w:bidi="ar-SA"/>
        </w:rPr>
        <w:t>（CMA认证）</w:t>
      </w:r>
      <w:r>
        <w:rPr>
          <w:rFonts w:hint="eastAsia" w:ascii="宋体" w:hAnsi="宋体" w:eastAsia="宋体" w:cs="宋体"/>
          <w:color w:val="auto"/>
          <w:kern w:val="2"/>
          <w:sz w:val="24"/>
          <w:szCs w:val="24"/>
          <w:highlight w:val="none"/>
          <w:lang w:val="en-US" w:eastAsia="zh-CN" w:bidi="ar-SA"/>
        </w:rPr>
        <w:t>的检测</w:t>
      </w:r>
      <w:r>
        <w:rPr>
          <w:rFonts w:hint="eastAsia" w:ascii="宋体" w:hAnsi="宋体" w:cs="宋体"/>
          <w:color w:val="auto"/>
          <w:kern w:val="2"/>
          <w:sz w:val="24"/>
          <w:szCs w:val="24"/>
          <w:highlight w:val="none"/>
          <w:lang w:val="en-US" w:eastAsia="zh-CN" w:bidi="ar-SA"/>
        </w:rPr>
        <w:t>机构出具</w:t>
      </w:r>
      <w:r>
        <w:rPr>
          <w:rFonts w:hint="eastAsia" w:ascii="宋体" w:hAnsi="宋体" w:eastAsia="宋体" w:cs="宋体"/>
          <w:color w:val="auto"/>
          <w:kern w:val="2"/>
          <w:sz w:val="24"/>
          <w:szCs w:val="24"/>
          <w:highlight w:val="none"/>
          <w:lang w:val="en-US" w:eastAsia="zh-CN" w:bidi="ar-SA"/>
        </w:rPr>
        <w:t>，供应商负责检测项目如下：</w:t>
      </w:r>
    </w:p>
    <w:p>
      <w:pPr>
        <w:pStyle w:val="13"/>
        <w:numPr>
          <w:ilvl w:val="0"/>
          <w:numId w:val="0"/>
        </w:numPr>
        <w:spacing w:line="360" w:lineRule="auto"/>
        <w:ind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污水处理站污水、废气检测项目表</w:t>
      </w:r>
    </w:p>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（包括但不仅限于下列检测项目）</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316"/>
        <w:gridCol w:w="1233"/>
        <w:gridCol w:w="132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检测类别</w:t>
            </w: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检测项目</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检测内容</w:t>
            </w: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频次</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采样方法及个数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restart"/>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废气</w:t>
            </w: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甲烷</w:t>
            </w:r>
          </w:p>
        </w:tc>
        <w:tc>
          <w:tcPr>
            <w:tcW w:w="1233" w:type="dxa"/>
            <w:vMerge w:val="restart"/>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风速、风向、温度、湿度、气压</w:t>
            </w: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非连续采样至少4个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臭气</w:t>
            </w:r>
          </w:p>
        </w:tc>
        <w:tc>
          <w:tcPr>
            <w:tcW w:w="1233"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非连续采样至少4个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氨气</w:t>
            </w:r>
          </w:p>
        </w:tc>
        <w:tc>
          <w:tcPr>
            <w:tcW w:w="1233"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非连续采样至少4个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氯</w:t>
            </w:r>
          </w:p>
        </w:tc>
        <w:tc>
          <w:tcPr>
            <w:tcW w:w="1233"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非连续采样至少4个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硫化氢</w:t>
            </w:r>
          </w:p>
        </w:tc>
        <w:tc>
          <w:tcPr>
            <w:tcW w:w="1233"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非连续采样至少4个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restart"/>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废水</w:t>
            </w: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悬浮物</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1次/周</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化学需氧量</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1次/周</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粪大肠菌群数</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1次/月</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志贺氏菌</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2次/年</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沙门氏菌</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阴离子表面活性剂</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五日化学需氧量</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石油类</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动植物油</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挥发酚</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总氰化物</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5" w:type="dxa"/>
            <w:vMerge w:val="continue"/>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231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PH值</w:t>
            </w:r>
          </w:p>
        </w:tc>
        <w:tc>
          <w:tcPr>
            <w:tcW w:w="123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tc>
        <w:tc>
          <w:tcPr>
            <w:tcW w:w="1323"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1次/季</w:t>
            </w:r>
          </w:p>
        </w:tc>
        <w:tc>
          <w:tcPr>
            <w:tcW w:w="2426"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瞬时采样至少3个</w:t>
            </w:r>
          </w:p>
        </w:tc>
      </w:tr>
    </w:tbl>
    <w:p>
      <w:pPr>
        <w:pStyle w:val="13"/>
        <w:numPr>
          <w:ilvl w:val="0"/>
          <w:numId w:val="0"/>
        </w:numPr>
        <w:spacing w:line="360" w:lineRule="auto"/>
        <w:ind w:leftChars="0"/>
        <w:rPr>
          <w:rFonts w:hint="eastAsia" w:ascii="宋体" w:hAnsi="宋体" w:eastAsia="宋体" w:cs="宋体"/>
          <w:kern w:val="2"/>
          <w:sz w:val="24"/>
          <w:szCs w:val="24"/>
          <w:lang w:val="en-US" w:eastAsia="zh-CN" w:bidi="ar-SA"/>
        </w:rPr>
      </w:pPr>
    </w:p>
    <w:p>
      <w:pPr>
        <w:pStyle w:val="13"/>
        <w:numPr>
          <w:ilvl w:val="0"/>
          <w:numId w:val="2"/>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若法定第三方检测机构的检测结果不合格，则由供应商针对检测结果整改直至所有检测指标合格为止，此期间所产生的检测费用由供应商负责。</w:t>
      </w:r>
    </w:p>
    <w:p>
      <w:pPr>
        <w:pStyle w:val="13"/>
        <w:numPr>
          <w:ilvl w:val="0"/>
          <w:numId w:val="2"/>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中医特色项目公卫楼一旦启用并产生医疗污水，应立即依据上表规定，对污水和废气开展检测，检测项目与频次均按上表执行。</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7、使用药剂质量及管理要求</w:t>
      </w:r>
    </w:p>
    <w:p>
      <w:pPr>
        <w:pStyle w:val="13"/>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（1）供应商负责</w:t>
      </w:r>
      <w:r>
        <w:rPr>
          <w:rFonts w:hint="eastAsia" w:ascii="宋体" w:hAnsi="宋体" w:cs="宋体"/>
          <w:sz w:val="24"/>
          <w:szCs w:val="24"/>
          <w:lang w:val="en-US" w:eastAsia="zh-CN"/>
        </w:rPr>
        <w:t>污水</w:t>
      </w:r>
      <w:r>
        <w:rPr>
          <w:rFonts w:hint="eastAsia" w:ascii="宋体" w:hAnsi="宋体" w:eastAsia="宋体" w:cs="宋体"/>
          <w:sz w:val="24"/>
          <w:szCs w:val="24"/>
        </w:rPr>
        <w:t>处理药剂及检验检测试剂试纸（包括但不限于</w:t>
      </w:r>
      <w:r>
        <w:rPr>
          <w:rFonts w:hint="eastAsia" w:ascii="宋体" w:hAnsi="宋体" w:eastAsia="宋体" w:cs="宋体"/>
          <w:sz w:val="24"/>
          <w:szCs w:val="24"/>
          <w:lang w:val="en-US" w:eastAsia="zh-CN"/>
        </w:rPr>
        <w:t>药剂清单</w:t>
      </w:r>
      <w:r>
        <w:rPr>
          <w:rFonts w:hint="eastAsia" w:ascii="宋体" w:hAnsi="宋体" w:eastAsia="宋体" w:cs="宋体"/>
          <w:sz w:val="24"/>
          <w:szCs w:val="24"/>
        </w:rPr>
        <w:t>所列）的采购、配送、投加、使用及全流程管理。所有药剂及试剂必须与采购人现有设施设备兼容，且其质量、规格、品牌未经采购人事先书面同意，不得擅自变更。</w:t>
      </w:r>
    </w:p>
    <w:p>
      <w:pPr>
        <w:pStyle w:val="13"/>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（2）供应商须确保所购药剂及试剂符合国家相关标准。其中，次氯酸钠消毒剂必须为“消”字号产品，并符合国家标准GB/T19106中表1 A型Ⅱ次氯酸钠的技术要求。供应商应提供全套加盖公章的“消”字号资质证明文件。</w:t>
      </w:r>
    </w:p>
    <w:p>
      <w:pPr>
        <w:pStyle w:val="13"/>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3）供应商应建立并维护完整的药剂管理台账，包括但不限于入库验收、出库使用及投加记录。所有在用药剂必须在保质期内。每月投加记录需经供应商盖章确认后提交采购人。本项目所涉全部药剂费用均由供应商承担。​​</w:t>
      </w:r>
    </w:p>
    <w:p>
      <w:pPr>
        <w:pStyle w:val="13"/>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（4）因供应商擅自变更、使用不兼容或不合格药剂/试剂所导致的一切损失（包括但不限于设备损坏、水质超标、行政处罚等），均由供应商承担全部责任并负责赔偿。</w:t>
      </w:r>
    </w:p>
    <w:p>
      <w:pPr>
        <w:pStyle w:val="13"/>
        <w:numPr>
          <w:ilvl w:val="0"/>
          <w:numId w:val="0"/>
        </w:numPr>
        <w:spacing w:line="360" w:lineRule="auto"/>
        <w:ind w:leftChars="0"/>
        <w:rPr>
          <w:rFonts w:hint="eastAsia" w:ascii="宋体" w:hAnsi="宋体" w:eastAsia="宋体" w:cs="宋体"/>
          <w:sz w:val="24"/>
          <w:szCs w:val="24"/>
        </w:rPr>
      </w:pPr>
      <w:r>
        <w:rPr>
          <w:rFonts w:hint="eastAsia" w:ascii="宋体" w:hAnsi="宋体" w:eastAsia="宋体" w:cs="宋体"/>
          <w:sz w:val="24"/>
          <w:szCs w:val="24"/>
        </w:rPr>
        <w:t>（5）采购人有权随时对药剂质量、管理台账及投加操作进行现场检查。如发现供应商违反本条任何规定，采购人有权要求其限期整改；逾期未改或整改不合格的，采购人有权按照合同约定追究其违约责任。</w:t>
      </w:r>
    </w:p>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药剂清单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4"/>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产品名称</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聚合氯化铝（PAC）</w:t>
            </w:r>
          </w:p>
        </w:tc>
        <w:tc>
          <w:tcPr>
            <w:tcW w:w="4448"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氧化铝 (A1</w:t>
            </w:r>
            <w:r>
              <w:rPr>
                <w:rFonts w:hint="eastAsia" w:ascii="宋体" w:hAnsi="宋体" w:eastAsia="宋体" w:cs="宋体"/>
                <w:kern w:val="2"/>
                <w:sz w:val="24"/>
                <w:szCs w:val="24"/>
                <w:vertAlign w:val="subscript"/>
                <w:lang w:val="en-US" w:eastAsia="zh-CN" w:bidi="ar-SA"/>
              </w:rPr>
              <w:t>2</w:t>
            </w:r>
            <w:r>
              <w:rPr>
                <w:rFonts w:hint="eastAsia" w:ascii="宋体" w:hAnsi="宋体" w:eastAsia="宋体" w:cs="宋体"/>
                <w:kern w:val="2"/>
                <w:sz w:val="24"/>
                <w:szCs w:val="24"/>
                <w:lang w:val="en-US" w:eastAsia="zh-CN" w:bidi="ar-SA"/>
              </w:rPr>
              <w:t>0</w:t>
            </w:r>
            <w:r>
              <w:rPr>
                <w:rFonts w:hint="eastAsia" w:ascii="宋体" w:hAnsi="宋体" w:eastAsia="宋体" w:cs="宋体"/>
                <w:kern w:val="2"/>
                <w:sz w:val="24"/>
                <w:szCs w:val="24"/>
                <w:vertAlign w:val="subscript"/>
                <w:lang w:val="en-US" w:eastAsia="zh-CN" w:bidi="ar-SA"/>
              </w:rPr>
              <w:t>3</w:t>
            </w:r>
            <w:r>
              <w:rPr>
                <w:rFonts w:hint="eastAsia" w:ascii="宋体" w:hAnsi="宋体" w:eastAsia="宋体" w:cs="宋体"/>
                <w:kern w:val="2"/>
                <w:sz w:val="24"/>
                <w:szCs w:val="24"/>
                <w:lang w:val="en-US" w:eastAsia="zh-CN" w:bidi="ar-SA"/>
              </w:rPr>
              <w:t>)的质量分数 (%)≥29.5</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不溶物的质量分数(%)≤0.05</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铁 (Fe)的质量分数 (%)≤0.03</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氨氮(以N计)的质量分数(%)≤0.002</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砷 (As)的质量分数 (%)≤0.00004</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铅(Pb)的质量分数 (%)≤0.001</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镉(Cd)的质量分数 (%)≤0.0001</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汞(Hg)的质量分数 (%)≤0.000004</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铬(Cr)的质量分数 (%)≤0.0006</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提供CMA的检测报告加盖公章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次氯酸钠消毒剂</w:t>
            </w:r>
          </w:p>
        </w:tc>
        <w:tc>
          <w:tcPr>
            <w:tcW w:w="4448"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“消”字号，并符合GB/T 19106表1次氯酸钠的技术要求A型‖类标准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酰胺（阳离子）（PAM）</w:t>
            </w:r>
          </w:p>
        </w:tc>
        <w:tc>
          <w:tcPr>
            <w:tcW w:w="4448" w:type="dxa"/>
            <w:noWrap/>
            <w:vAlign w:val="center"/>
          </w:tcPr>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30离子度/1200万分子量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PH试纸</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精度0.5PH单位，范围5.5-9PH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PH探头标定液</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PH校正液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余氯探头标定液</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余氯标准溶液20mg/L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手持式余氯仪检测试剂</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余氯标准溶液20mg/L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COD在线监测仪实验试剂</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硫酸汞溶液（50g/L）、重铬酸钾溶液（11g/L）、硫酸银溶液（10g/L）、COD标准溶液（1000mg/L）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4"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氨氮在线监测仪实验试剂</w:t>
            </w:r>
          </w:p>
        </w:tc>
        <w:tc>
          <w:tcPr>
            <w:tcW w:w="4448" w:type="dxa"/>
            <w:noWrap/>
            <w:vAlign w:val="center"/>
          </w:tcPr>
          <w:p>
            <w:pPr>
              <w:pStyle w:val="13"/>
              <w:numPr>
                <w:ilvl w:val="0"/>
                <w:numId w:val="0"/>
              </w:numPr>
              <w:spacing w:line="360" w:lineRule="auto"/>
              <w:ind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水杨酸钠溶液（80g/L）、二氯异氰尿酸钠溶液（1.32g/L）、稀硫酸溶液（5%浓度）、氨氮标准溶液（1000mg/L）                                                                                                                                                                                                                                                                                                                                                                                                                                                                                                                                                                                                                                                                              </w:t>
            </w:r>
          </w:p>
        </w:tc>
      </w:tr>
    </w:tbl>
    <w:p>
      <w:pPr>
        <w:pStyle w:val="13"/>
        <w:numPr>
          <w:ilvl w:val="0"/>
          <w:numId w:val="0"/>
        </w:numPr>
        <w:spacing w:line="360" w:lineRule="auto"/>
        <w:ind w:leftChars="0"/>
        <w:rPr>
          <w:rFonts w:hint="eastAsia" w:ascii="宋体" w:hAnsi="宋体" w:eastAsia="宋体" w:cs="宋体"/>
          <w:sz w:val="24"/>
          <w:szCs w:val="24"/>
        </w:rPr>
      </w:pPr>
    </w:p>
    <w:p>
      <w:pPr>
        <w:pStyle w:val="13"/>
        <w:numPr>
          <w:ilvl w:val="0"/>
          <w:numId w:val="0"/>
        </w:numPr>
        <w:spacing w:line="360" w:lineRule="auto"/>
        <w:ind w:left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8、其他要求</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（1）在合同执行期间值班室办公所产生电费用由</w:t>
      </w:r>
      <w:r>
        <w:rPr>
          <w:rFonts w:hint="eastAsia" w:ascii="宋体" w:hAnsi="宋体" w:eastAsia="宋体" w:cs="宋体"/>
          <w:sz w:val="24"/>
          <w:szCs w:val="24"/>
          <w:lang w:val="en-US" w:eastAsia="zh-CN"/>
        </w:rPr>
        <w:t>供应商负责</w:t>
      </w:r>
      <w:r>
        <w:rPr>
          <w:rFonts w:hint="eastAsia" w:ascii="宋体" w:hAnsi="宋体" w:eastAsia="宋体" w:cs="宋体"/>
          <w:kern w:val="2"/>
          <w:sz w:val="24"/>
          <w:szCs w:val="24"/>
          <w:lang w:val="en-US" w:eastAsia="zh-CN" w:bidi="ar-SA"/>
        </w:rPr>
        <w:t>。</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（2）服务期内医疗污泥处置工作由采购人负责，但供应商需协助采购人完成污泥处置工作，并做好污泥清掏转运记录。</w:t>
      </w:r>
    </w:p>
    <w:p>
      <w:pPr>
        <w:pStyle w:val="13"/>
        <w:numPr>
          <w:ilvl w:val="0"/>
          <w:numId w:val="0"/>
        </w:numPr>
        <w:spacing w:line="360" w:lineRule="auto"/>
        <w:ind w:leftChars="0"/>
        <w:rPr>
          <w:rFonts w:hint="eastAsia"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3）供应商需保障污水处理站设施设备24小时正常运行，出水指标按《医疗机构污水排放标准》（GB18466-2005）预处理标准执行，如出现排放指标超标情况，由此发生的行政处罚，由供应商承担相关法律责任和全部经济损失。</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污水处理站为24小时运行值守，供应商需保障污水处理站内随时有运维人员24小时在岗工作，且各项巡检、药剂投加、设备保养、取样检测等污水处理站运行记录按时有效完成；因污水处理操作人员在值守期间，出现脱岗、离岗、不假不到，造成损失事故或导致发生安全事故的采购人有权单方面解除合同，并追究供应商由此造成的经济损失及法律责任。</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污水处理站现场安全责任及行政责任均由供应商承担。因供应商在服务过程中发生的消防安全、设施设备安全等责任事故均由供应商承担全部责任。若造成安全责任事故，按照合同约定采购人有权追究相应法律责任及经济损失。</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（6）供应商未履行或未完全履行本合同义务的情况下，采购人有权解除本合同，采购人有权选择第三方履行，所有费用损失由供应商承担。 </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职责制度：包含污水处理操作人员岗位职责、污水处理站交接班制度、危险化学品管理制度、劳动防护用具（品）管理制度、污水处理站安全生产管理制度、设备维护保养检修管理制度、运营管理制度、事故及报告制度等</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bookmarkStart w:id="0" w:name="_Toc626"/>
      <w:bookmarkStart w:id="1" w:name="_Toc20357"/>
      <w:bookmarkStart w:id="2" w:name="_Toc23617"/>
      <w:r>
        <w:rPr>
          <w:rFonts w:hint="eastAsia" w:ascii="宋体" w:hAnsi="宋体" w:eastAsia="宋体" w:cs="宋体"/>
          <w:kern w:val="2"/>
          <w:sz w:val="24"/>
          <w:szCs w:val="24"/>
          <w:lang w:val="en-US" w:eastAsia="zh-CN" w:bidi="ar-SA"/>
        </w:rPr>
        <w:t>每月对污水处理站药剂使用、人工福利、设备维修、能耗量、污水检测等费用统计，并进行成本分析，每月相关分析报告提交采购人。</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（9）供应商需提供三年内自2023年1月1日至投标截止当日,提供至少贰个具有污水运维项目业绩（且服务期限不得少于1年）并提供采购合同或中标通知书。</w:t>
      </w:r>
    </w:p>
    <w:p>
      <w:pPr>
        <w:pStyle w:val="13"/>
        <w:numPr>
          <w:ilvl w:val="0"/>
          <w:numId w:val="0"/>
        </w:numPr>
        <w:spacing w:line="360" w:lineRule="auto"/>
        <w:ind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（10）采购人与供应商签订污水处理站安全生产责任书。</w:t>
      </w:r>
    </w:p>
    <w:p>
      <w:pPr>
        <w:pStyle w:val="13"/>
        <w:numPr>
          <w:ilvl w:val="0"/>
          <w:numId w:val="0"/>
        </w:numPr>
        <w:spacing w:line="360" w:lineRule="auto"/>
        <w:ind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9、合同解除情形</w:t>
      </w:r>
    </w:p>
    <w:p>
      <w:pPr>
        <w:pStyle w:val="13"/>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供应商出现以下任一情形，采购人可单方解除合同：</w:t>
      </w:r>
    </w:p>
    <w:p>
      <w:pPr>
        <w:pStyle w:val="13"/>
        <w:numPr>
          <w:ilvl w:val="0"/>
          <w:numId w:val="0"/>
        </w:numPr>
        <w:spacing w:line="360"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（1）水质检测超标且48小时内未整改；</w:t>
      </w:r>
    </w:p>
    <w:p>
      <w:pPr>
        <w:pStyle w:val="13"/>
        <w:numPr>
          <w:ilvl w:val="0"/>
          <w:numId w:val="0"/>
        </w:numPr>
        <w:spacing w:line="360" w:lineRule="auto"/>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（2）如供应商未完全履行其重大合同义务，且因该违约行为导致采购人被有权机</w:t>
      </w:r>
      <w:r>
        <w:rPr>
          <w:rFonts w:hint="eastAsia" w:ascii="宋体" w:hAnsi="宋体" w:eastAsia="宋体" w:cs="宋体"/>
          <w:color w:val="auto"/>
          <w:kern w:val="2"/>
          <w:sz w:val="24"/>
          <w:szCs w:val="24"/>
          <w:highlight w:val="none"/>
          <w:lang w:val="en-US" w:eastAsia="zh-CN" w:bidi="ar-SA"/>
        </w:rPr>
        <w:t>关（注1）通报批评或处罚（注2）</w:t>
      </w:r>
      <w:r>
        <w:rPr>
          <w:rFonts w:hint="eastAsia" w:ascii="宋体" w:hAnsi="宋体" w:eastAsia="宋体" w:cs="宋体"/>
          <w:color w:val="auto"/>
          <w:kern w:val="2"/>
          <w:sz w:val="24"/>
          <w:szCs w:val="24"/>
          <w:lang w:val="en-US" w:eastAsia="zh-CN" w:bidi="ar-SA"/>
        </w:rPr>
        <w:t>累计≥2次或单次处罚≥10万元，产生的罚金由供应商负责；</w:t>
      </w:r>
    </w:p>
    <w:p>
      <w:pPr>
        <w:pStyle w:val="13"/>
        <w:numPr>
          <w:ilvl w:val="0"/>
          <w:numId w:val="0"/>
        </w:num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（3）人员脱岗累计3次；</w:t>
      </w:r>
    </w:p>
    <w:p>
      <w:pPr>
        <w:pStyle w:val="13"/>
        <w:numPr>
          <w:ilvl w:val="0"/>
          <w:numId w:val="0"/>
        </w:num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（4）引发一般安全事故；</w:t>
      </w:r>
    </w:p>
    <w:p>
      <w:pPr>
        <w:pStyle w:val="13"/>
        <w:numPr>
          <w:ilvl w:val="0"/>
          <w:numId w:val="0"/>
        </w:num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（5）引发环境污染事故；</w:t>
      </w:r>
    </w:p>
    <w:p>
      <w:pPr>
        <w:pStyle w:val="13"/>
        <w:numPr>
          <w:ilvl w:val="0"/>
          <w:numId w:val="0"/>
        </w:num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（6）危险废物违法处置造成影响。</w:t>
      </w:r>
    </w:p>
    <w:p>
      <w:pPr>
        <w:pStyle w:val="13"/>
        <w:numPr>
          <w:ilvl w:val="0"/>
          <w:numId w:val="0"/>
        </w:numPr>
        <w:spacing w:line="360" w:lineRule="auto"/>
        <w:ind w:leftChars="0" w:firstLine="42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释1：“有权机关”指依据法律、行政法规或监管职权，有权对采购人进行监督检查并作出正式通报、处罚或问责的机构；注释2：本款所述‘通报批评或处罚’应指有权机关就供应商违约事件对采购人做出的正式书面通报、警告、处罚、问责。）</w:t>
      </w:r>
      <w:bookmarkEnd w:id="0"/>
      <w:bookmarkEnd w:id="1"/>
      <w:bookmarkEnd w:id="2"/>
    </w:p>
    <w:p>
      <w:pPr>
        <w:pStyle w:val="13"/>
        <w:numPr>
          <w:ilvl w:val="0"/>
          <w:numId w:val="0"/>
        </w:numPr>
        <w:spacing w:line="360" w:lineRule="auto"/>
        <w:ind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10、验收及付款结算方式</w:t>
      </w:r>
    </w:p>
    <w:p>
      <w:pPr>
        <w:pStyle w:val="13"/>
        <w:numPr>
          <w:ilvl w:val="0"/>
          <w:numId w:val="0"/>
        </w:numPr>
        <w:spacing w:line="360" w:lineRule="auto"/>
        <w:ind w:leftChars="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10.1</w:t>
      </w:r>
      <w:r>
        <w:rPr>
          <w:rFonts w:hint="eastAsia" w:ascii="宋体" w:hAnsi="宋体" w:eastAsia="宋体" w:cs="宋体"/>
          <w:color w:val="auto"/>
          <w:kern w:val="2"/>
          <w:sz w:val="24"/>
          <w:szCs w:val="24"/>
          <w:lang w:val="en-US" w:eastAsia="zh-CN" w:bidi="ar-SA"/>
        </w:rPr>
        <w:t>服务考核：每月实施服务绩效评估考核；</w:t>
      </w:r>
    </w:p>
    <w:p>
      <w:pPr>
        <w:pStyle w:val="13"/>
        <w:numPr>
          <w:ilvl w:val="0"/>
          <w:numId w:val="0"/>
        </w:numPr>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10.2</w:t>
      </w:r>
      <w:r>
        <w:rPr>
          <w:rFonts w:hint="eastAsia" w:ascii="宋体" w:hAnsi="宋体" w:eastAsia="宋体" w:cs="宋体"/>
          <w:color w:val="auto"/>
          <w:kern w:val="2"/>
          <w:sz w:val="24"/>
          <w:szCs w:val="24"/>
          <w:lang w:val="en-US" w:eastAsia="zh-CN" w:bidi="ar-SA"/>
        </w:rPr>
        <w:t>履约验收：</w:t>
      </w:r>
      <w:r>
        <w:rPr>
          <w:rFonts w:hint="eastAsia" w:ascii="宋体" w:hAnsi="宋体" w:cs="宋体"/>
          <w:color w:val="auto"/>
          <w:kern w:val="2"/>
          <w:sz w:val="24"/>
          <w:szCs w:val="24"/>
          <w:lang w:val="en-US" w:eastAsia="zh-CN" w:bidi="ar-SA"/>
        </w:rPr>
        <w:t>按</w:t>
      </w:r>
      <w:r>
        <w:rPr>
          <w:rFonts w:hint="eastAsia" w:ascii="宋体" w:hAnsi="宋体" w:eastAsia="宋体" w:cs="宋体"/>
          <w:color w:val="auto"/>
          <w:kern w:val="2"/>
          <w:sz w:val="24"/>
          <w:szCs w:val="24"/>
          <w:lang w:val="en-US" w:eastAsia="zh-CN" w:bidi="ar-SA"/>
        </w:rPr>
        <w:t>季度（每三个月）组织一次履约验收</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院方收到</w:t>
      </w:r>
      <w:r>
        <w:rPr>
          <w:rFonts w:hint="eastAsia" w:ascii="宋体" w:hAnsi="宋体" w:cs="宋体"/>
          <w:color w:val="auto"/>
          <w:kern w:val="2"/>
          <w:sz w:val="24"/>
          <w:szCs w:val="24"/>
          <w:lang w:val="en-US" w:eastAsia="zh-CN" w:bidi="ar-SA"/>
        </w:rPr>
        <w:t>供应商的书面</w:t>
      </w:r>
      <w:r>
        <w:rPr>
          <w:rFonts w:hint="eastAsia" w:ascii="宋体" w:hAnsi="宋体" w:eastAsia="宋体" w:cs="宋体"/>
          <w:color w:val="auto"/>
          <w:kern w:val="2"/>
          <w:sz w:val="24"/>
          <w:szCs w:val="24"/>
          <w:lang w:val="en-US" w:eastAsia="zh-CN" w:bidi="ar-SA"/>
        </w:rPr>
        <w:t>验收申请后，在10个工作日内组织开展验收工作。</w:t>
      </w:r>
    </w:p>
    <w:p>
      <w:pPr>
        <w:pStyle w:val="13"/>
        <w:numPr>
          <w:ilvl w:val="0"/>
          <w:numId w:val="0"/>
        </w:numPr>
        <w:spacing w:line="360" w:lineRule="auto"/>
        <w:ind w:leftChars="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10.3</w:t>
      </w:r>
      <w:r>
        <w:rPr>
          <w:rFonts w:hint="eastAsia" w:ascii="宋体" w:hAnsi="宋体" w:eastAsia="宋体" w:cs="宋体"/>
          <w:color w:val="auto"/>
          <w:kern w:val="2"/>
          <w:sz w:val="24"/>
          <w:szCs w:val="24"/>
          <w:lang w:val="en-US" w:eastAsia="zh-CN" w:bidi="ar-SA"/>
        </w:rPr>
        <w:t>结算与支付：</w:t>
      </w:r>
    </w:p>
    <w:p>
      <w:pPr>
        <w:pStyle w:val="13"/>
        <w:numPr>
          <w:ilvl w:val="0"/>
          <w:numId w:val="0"/>
        </w:numPr>
        <w:spacing w:line="360" w:lineRule="auto"/>
        <w:ind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10.3.1</w:t>
      </w:r>
      <w:r>
        <w:rPr>
          <w:rFonts w:hint="eastAsia" w:ascii="宋体" w:hAnsi="宋体" w:eastAsia="宋体" w:cs="宋体"/>
          <w:color w:val="auto"/>
          <w:kern w:val="2"/>
          <w:sz w:val="24"/>
          <w:szCs w:val="24"/>
          <w:lang w:val="en-US" w:eastAsia="zh-CN" w:bidi="ar-SA"/>
        </w:rPr>
        <w:t>结算方式：按实际处理量据实结算。结算金额计算公式如下：</w:t>
      </w:r>
    </w:p>
    <w:p>
      <w:pPr>
        <w:pStyle w:val="13"/>
        <w:numPr>
          <w:ilvl w:val="0"/>
          <w:numId w:val="0"/>
        </w:numPr>
        <w:spacing w:line="360" w:lineRule="auto"/>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实际支付金额=（处理污水量（m³）×中标处理单价）-考核扣款；</w:t>
      </w:r>
    </w:p>
    <w:p>
      <w:pPr>
        <w:pStyle w:val="13"/>
        <w:numPr>
          <w:ilvl w:val="0"/>
          <w:numId w:val="0"/>
        </w:numPr>
        <w:spacing w:line="360" w:lineRule="auto"/>
        <w:ind w:left="420"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10.3.2</w:t>
      </w:r>
      <w:r>
        <w:rPr>
          <w:rFonts w:hint="eastAsia" w:ascii="宋体" w:hAnsi="宋体" w:eastAsia="宋体" w:cs="宋体"/>
          <w:kern w:val="2"/>
          <w:sz w:val="24"/>
          <w:szCs w:val="24"/>
          <w:lang w:val="en-US" w:eastAsia="zh-CN" w:bidi="ar-SA"/>
        </w:rPr>
        <w:t>支付流程：履约验收通过后</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供应商</w:t>
      </w:r>
      <w:r>
        <w:rPr>
          <w:rFonts w:hint="eastAsia" w:ascii="宋体" w:hAnsi="宋体" w:cs="宋体"/>
          <w:kern w:val="2"/>
          <w:sz w:val="24"/>
          <w:szCs w:val="24"/>
          <w:lang w:val="en-US" w:eastAsia="zh-CN" w:bidi="ar-SA"/>
        </w:rPr>
        <w:t>需</w:t>
      </w:r>
      <w:r>
        <w:rPr>
          <w:rFonts w:hint="eastAsia" w:ascii="宋体" w:hAnsi="宋体" w:eastAsia="宋体" w:cs="宋体"/>
          <w:kern w:val="2"/>
          <w:sz w:val="24"/>
          <w:szCs w:val="24"/>
          <w:lang w:val="en-US" w:eastAsia="zh-CN" w:bidi="ar-SA"/>
        </w:rPr>
        <w:t>向院方开具合法有效的税务发</w:t>
      </w:r>
    </w:p>
    <w:p>
      <w:pPr>
        <w:pStyle w:val="13"/>
        <w:numPr>
          <w:ilvl w:val="0"/>
          <w:numId w:val="0"/>
        </w:num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票</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院方收到发票后在20个工作日内，通过银行对公转账方式支付应付结算款项。</w:t>
      </w:r>
    </w:p>
    <w:p>
      <w:pPr>
        <w:pStyle w:val="13"/>
        <w:numPr>
          <w:ilvl w:val="0"/>
          <w:numId w:val="0"/>
        </w:numPr>
        <w:spacing w:line="360" w:lineRule="auto"/>
        <w:ind w:leftChars="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11.</w:t>
      </w:r>
      <w:r>
        <w:rPr>
          <w:rFonts w:hint="eastAsia" w:ascii="宋体" w:hAnsi="宋体" w:eastAsia="宋体" w:cs="宋体"/>
          <w:b/>
          <w:bCs/>
          <w:color w:val="auto"/>
          <w:sz w:val="24"/>
          <w:szCs w:val="24"/>
          <w:lang w:val="en-US" w:eastAsia="zh-CN"/>
        </w:rPr>
        <w:t>污水处理服务月度考核表</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360" w:lineRule="auto"/>
        <w:ind w:left="0" w:firstLine="0"/>
        <w:textAlignment w:val="baseline"/>
        <w:rPr>
          <w:rFonts w:hint="eastAsia" w:ascii="宋体" w:hAnsi="宋体" w:eastAsia="宋体" w:cs="宋体"/>
          <w:b w:val="0"/>
          <w:bCs w:val="0"/>
          <w:i w:val="0"/>
          <w:iCs w:val="0"/>
          <w:caps w:val="0"/>
          <w:color w:val="000000"/>
          <w:spacing w:val="-2"/>
          <w:sz w:val="24"/>
          <w:szCs w:val="24"/>
        </w:rPr>
      </w:pPr>
      <w:r>
        <w:rPr>
          <w:rFonts w:hint="eastAsia" w:ascii="宋体" w:hAnsi="宋体" w:eastAsia="宋体" w:cs="宋体"/>
          <w:b w:val="0"/>
          <w:bCs w:val="0"/>
          <w:i w:val="0"/>
          <w:iCs w:val="0"/>
          <w:caps w:val="0"/>
          <w:color w:val="000000"/>
          <w:spacing w:val="-2"/>
          <w:sz w:val="24"/>
          <w:szCs w:val="24"/>
          <w:shd w:val="clear" w:fill="FFFFFF"/>
          <w:vertAlign w:val="baseline"/>
        </w:rPr>
        <w:t>​</w:t>
      </w:r>
      <w:r>
        <w:rPr>
          <w:rStyle w:val="17"/>
          <w:rFonts w:hint="eastAsia" w:ascii="宋体" w:hAnsi="宋体" w:eastAsia="宋体" w:cs="宋体"/>
          <w:b w:val="0"/>
          <w:bCs w:val="0"/>
          <w:i w:val="0"/>
          <w:iCs w:val="0"/>
          <w:caps w:val="0"/>
          <w:color w:val="000000"/>
          <w:spacing w:val="-2"/>
          <w:sz w:val="24"/>
          <w:szCs w:val="24"/>
          <w:shd w:val="clear" w:fill="FFFFFF"/>
          <w:vertAlign w:val="baseline"/>
        </w:rPr>
        <w:t>​项目名称：​</w:t>
      </w:r>
      <w:r>
        <w:rPr>
          <w:rFonts w:hint="eastAsia" w:ascii="宋体" w:hAnsi="宋体" w:eastAsia="宋体" w:cs="宋体"/>
          <w:b w:val="0"/>
          <w:bCs w:val="0"/>
          <w:i w:val="0"/>
          <w:iCs w:val="0"/>
          <w:caps w:val="0"/>
          <w:color w:val="000000"/>
          <w:spacing w:val="-2"/>
          <w:sz w:val="24"/>
          <w:szCs w:val="24"/>
          <w:shd w:val="clear" w:fill="FFFFFF"/>
          <w:vertAlign w:val="baseline"/>
        </w:rPr>
        <w:t>泸州市中医医院城南院区污水处理服务</w:t>
      </w:r>
      <w:r>
        <w:rPr>
          <w:rFonts w:hint="eastAsia" w:ascii="宋体" w:hAnsi="宋体" w:eastAsia="宋体" w:cs="宋体"/>
          <w:b w:val="0"/>
          <w:bCs w:val="0"/>
          <w:i w:val="0"/>
          <w:iCs w:val="0"/>
          <w:caps w:val="0"/>
          <w:color w:val="000000"/>
          <w:spacing w:val="-2"/>
          <w:sz w:val="24"/>
          <w:szCs w:val="24"/>
          <w:shd w:val="clear" w:fill="FFFFFF"/>
          <w:vertAlign w:val="baseline"/>
        </w:rPr>
        <w:br w:type="textWrapping"/>
      </w:r>
      <w:r>
        <w:rPr>
          <w:rFonts w:hint="eastAsia" w:ascii="宋体" w:hAnsi="宋体" w:eastAsia="宋体" w:cs="宋体"/>
          <w:b w:val="0"/>
          <w:bCs w:val="0"/>
          <w:i w:val="0"/>
          <w:iCs w:val="0"/>
          <w:caps w:val="0"/>
          <w:color w:val="000000"/>
          <w:spacing w:val="-2"/>
          <w:sz w:val="24"/>
          <w:szCs w:val="24"/>
          <w:shd w:val="clear" w:fill="FFFFFF"/>
          <w:vertAlign w:val="baseline"/>
        </w:rPr>
        <w:t>​</w:t>
      </w:r>
      <w:r>
        <w:rPr>
          <w:rStyle w:val="17"/>
          <w:rFonts w:hint="eastAsia" w:ascii="宋体" w:hAnsi="宋体" w:eastAsia="宋体" w:cs="宋体"/>
          <w:b w:val="0"/>
          <w:bCs w:val="0"/>
          <w:i w:val="0"/>
          <w:iCs w:val="0"/>
          <w:caps w:val="0"/>
          <w:color w:val="000000"/>
          <w:spacing w:val="-2"/>
          <w:sz w:val="24"/>
          <w:szCs w:val="24"/>
          <w:shd w:val="clear" w:fill="FFFFFF"/>
          <w:vertAlign w:val="baseline"/>
        </w:rPr>
        <w:t>​考核月份：​</w:t>
      </w:r>
      <w:r>
        <w:rPr>
          <w:rFonts w:hint="eastAsia" w:ascii="宋体" w:hAnsi="宋体" w:eastAsia="宋体" w:cs="宋体"/>
          <w:b w:val="0"/>
          <w:bCs w:val="0"/>
          <w:i w:val="0"/>
          <w:iCs w:val="0"/>
          <w:caps w:val="0"/>
          <w:color w:val="000000"/>
          <w:spacing w:val="-2"/>
          <w:sz w:val="24"/>
          <w:szCs w:val="24"/>
          <w:shd w:val="clear" w:fill="FFFFFF"/>
          <w:vertAlign w:val="baseline"/>
        </w:rPr>
        <w:t>______年_____月</w:t>
      </w:r>
      <w:r>
        <w:rPr>
          <w:rFonts w:hint="eastAsia" w:ascii="宋体" w:hAnsi="宋体" w:eastAsia="宋体" w:cs="宋体"/>
          <w:b w:val="0"/>
          <w:bCs w:val="0"/>
          <w:i w:val="0"/>
          <w:iCs w:val="0"/>
          <w:caps w:val="0"/>
          <w:color w:val="000000"/>
          <w:spacing w:val="-2"/>
          <w:sz w:val="24"/>
          <w:szCs w:val="24"/>
          <w:shd w:val="clear" w:fill="FFFFFF"/>
          <w:vertAlign w:val="baseline"/>
        </w:rPr>
        <w:br w:type="textWrapping"/>
      </w:r>
      <w:r>
        <w:rPr>
          <w:rFonts w:hint="eastAsia" w:ascii="宋体" w:hAnsi="宋体" w:eastAsia="宋体" w:cs="宋体"/>
          <w:b w:val="0"/>
          <w:bCs w:val="0"/>
          <w:i w:val="0"/>
          <w:iCs w:val="0"/>
          <w:caps w:val="0"/>
          <w:color w:val="000000"/>
          <w:spacing w:val="-2"/>
          <w:sz w:val="24"/>
          <w:szCs w:val="24"/>
          <w:shd w:val="clear" w:fill="FFFFFF"/>
          <w:vertAlign w:val="baseline"/>
        </w:rPr>
        <w:t>​</w:t>
      </w:r>
      <w:r>
        <w:rPr>
          <w:rStyle w:val="17"/>
          <w:rFonts w:hint="eastAsia" w:ascii="宋体" w:hAnsi="宋体" w:eastAsia="宋体" w:cs="宋体"/>
          <w:b w:val="0"/>
          <w:bCs w:val="0"/>
          <w:i w:val="0"/>
          <w:iCs w:val="0"/>
          <w:caps w:val="0"/>
          <w:color w:val="000000"/>
          <w:spacing w:val="-2"/>
          <w:sz w:val="24"/>
          <w:szCs w:val="24"/>
          <w:shd w:val="clear" w:fill="FFFFFF"/>
          <w:vertAlign w:val="baseline"/>
        </w:rPr>
        <w:t>​供应商名称：​</w:t>
      </w:r>
      <w:r>
        <w:rPr>
          <w:rFonts w:hint="eastAsia" w:ascii="宋体" w:hAnsi="宋体" w:eastAsia="宋体" w:cs="宋体"/>
          <w:b w:val="0"/>
          <w:bCs w:val="0"/>
          <w:i w:val="0"/>
          <w:iCs w:val="0"/>
          <w:caps w:val="0"/>
          <w:color w:val="000000"/>
          <w:spacing w:val="-2"/>
          <w:sz w:val="24"/>
          <w:szCs w:val="24"/>
          <w:shd w:val="clear" w:fill="FFFFFF"/>
          <w:vertAlign w:val="baseline"/>
        </w:rPr>
        <w:t>__________________________</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7"/>
        <w:gridCol w:w="2503"/>
        <w:gridCol w:w="1512"/>
        <w:gridCol w:w="1881"/>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1367"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1"/>
                <w:szCs w:val="21"/>
              </w:rPr>
            </w:pPr>
            <w:r>
              <w:rPr>
                <w:rStyle w:val="17"/>
                <w:rFonts w:hint="eastAsia" w:ascii="宋体" w:hAnsi="宋体" w:eastAsia="宋体" w:cs="宋体"/>
                <w:kern w:val="0"/>
                <w:sz w:val="21"/>
                <w:szCs w:val="21"/>
                <w:vertAlign w:val="baseline"/>
                <w:lang w:val="en-US" w:eastAsia="zh-CN" w:bidi="ar"/>
              </w:rPr>
              <w:t>考核类别</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1"/>
                <w:szCs w:val="21"/>
              </w:rPr>
            </w:pPr>
            <w:r>
              <w:rPr>
                <w:rStyle w:val="17"/>
                <w:rFonts w:hint="eastAsia" w:ascii="宋体" w:hAnsi="宋体" w:eastAsia="宋体" w:cs="宋体"/>
                <w:kern w:val="0"/>
                <w:sz w:val="21"/>
                <w:szCs w:val="21"/>
                <w:vertAlign w:val="baseline"/>
                <w:lang w:val="en-US" w:eastAsia="zh-CN" w:bidi="ar"/>
              </w:rPr>
              <w:t>扣款细则</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1"/>
                <w:szCs w:val="21"/>
                <w:lang w:val="en-US"/>
              </w:rPr>
            </w:pPr>
            <w:r>
              <w:rPr>
                <w:rStyle w:val="17"/>
                <w:rFonts w:hint="eastAsia" w:ascii="宋体" w:hAnsi="宋体" w:eastAsia="宋体" w:cs="宋体"/>
                <w:kern w:val="0"/>
                <w:sz w:val="21"/>
                <w:szCs w:val="21"/>
                <w:vertAlign w:val="baseline"/>
                <w:lang w:val="en-US" w:eastAsia="zh-CN" w:bidi="ar"/>
              </w:rPr>
              <w:t>单次扣款金额</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考核扣罚情况记录</w:t>
            </w: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扣罚金额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7" w:hRule="atLeast"/>
        </w:trPr>
        <w:tc>
          <w:tcPr>
            <w:tcW w:w="1367"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Style w:val="17"/>
                <w:rFonts w:hint="eastAsia" w:ascii="宋体" w:hAnsi="宋体" w:eastAsia="宋体" w:cs="宋体"/>
                <w:b/>
                <w:bCs/>
                <w:kern w:val="0"/>
                <w:sz w:val="21"/>
                <w:szCs w:val="21"/>
                <w:vertAlign w:val="baseline"/>
                <w:lang w:val="en-US" w:eastAsia="zh-CN" w:bidi="ar"/>
              </w:rPr>
              <w:t>人员值守</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值班人员脱岗（含擅自离岗、无人顶替）</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Style w:val="17"/>
                <w:rFonts w:hint="eastAsia" w:ascii="宋体" w:hAnsi="宋体" w:eastAsia="宋体" w:cs="宋体"/>
                <w:b w:val="0"/>
                <w:bCs w:val="0"/>
                <w:kern w:val="0"/>
                <w:sz w:val="21"/>
                <w:szCs w:val="21"/>
                <w:vertAlign w:val="baseline"/>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center"/>
              <w:rPr>
                <w:rFonts w:hint="eastAsia" w:ascii="宋体" w:hAnsi="宋体" w:eastAsia="宋体" w:cs="宋体"/>
                <w:sz w:val="21"/>
                <w:szCs w:val="21"/>
                <w:lang w:val="en-US" w:eastAsia="zh-CN"/>
              </w:rPr>
            </w:pPr>
            <w:r>
              <w:rPr>
                <w:rStyle w:val="17"/>
                <w:rFonts w:hint="eastAsia" w:ascii="宋体" w:hAnsi="宋体" w:eastAsia="宋体" w:cs="宋体"/>
                <w:bCs/>
                <w:kern w:val="0"/>
                <w:sz w:val="21"/>
                <w:szCs w:val="21"/>
                <w:vertAlign w:val="baseline"/>
                <w:lang w:val="en-US" w:eastAsia="zh-CN" w:bidi="ar"/>
              </w:rPr>
              <w:t>台账管理</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各类记录不规范、漏记、未如实记录</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restart"/>
            <w:tcBorders>
              <w:top w:val="single" w:color="auto" w:sz="4" w:space="0"/>
              <w:left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Style w:val="17"/>
                <w:rFonts w:hint="eastAsia" w:ascii="宋体" w:hAnsi="宋体" w:eastAsia="宋体" w:cs="宋体"/>
                <w:b/>
                <w:bCs/>
                <w:kern w:val="0"/>
                <w:sz w:val="21"/>
                <w:szCs w:val="21"/>
                <w:vertAlign w:val="baseline"/>
                <w:lang w:val="en-US" w:eastAsia="zh-CN" w:bidi="ar"/>
              </w:rPr>
              <w:t>水质安全</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当月在线监测数据超标3次及以上（COD/氨氮/余氯等）</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r>
              <w:rPr>
                <w:rStyle w:val="17"/>
                <w:rFonts w:hint="eastAsia" w:ascii="宋体" w:hAnsi="宋体" w:eastAsia="宋体" w:cs="宋体"/>
                <w:b/>
                <w:bCs/>
                <w:kern w:val="0"/>
                <w:sz w:val="21"/>
                <w:szCs w:val="21"/>
                <w:vertAlign w:val="baseline"/>
                <w:lang w:val="en-US" w:eastAsia="zh-CN" w:bidi="ar"/>
              </w:rPr>
              <w:t>​500元</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第三方CMA检测报告出现检测指标不合格或出现漏检情况</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2000元/次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未按时提交检测报告（超21日）</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rPr>
            </w:pPr>
            <w:r>
              <w:rPr>
                <w:rFonts w:hint="eastAsia" w:ascii="宋体" w:hAnsi="宋体" w:eastAsia="宋体" w:cs="宋体"/>
                <w:kern w:val="0"/>
                <w:sz w:val="21"/>
                <w:szCs w:val="21"/>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restart"/>
            <w:tcBorders>
              <w:top w:val="single" w:color="auto" w:sz="4" w:space="0"/>
              <w:left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Style w:val="17"/>
                <w:rFonts w:hint="eastAsia" w:ascii="宋体" w:hAnsi="宋体" w:eastAsia="宋体" w:cs="宋体"/>
                <w:b/>
                <w:bCs/>
                <w:kern w:val="0"/>
                <w:sz w:val="21"/>
                <w:szCs w:val="21"/>
                <w:vertAlign w:val="baseline"/>
                <w:lang w:val="en-US" w:eastAsia="zh-CN" w:bidi="ar"/>
              </w:rPr>
              <w:t>数据传输</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平台数据漏报（含环保/卫健系统）</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w:t>
            </w:r>
            <w:r>
              <w:rPr>
                <w:rStyle w:val="17"/>
                <w:rFonts w:hint="eastAsia" w:ascii="宋体" w:hAnsi="宋体" w:eastAsia="宋体" w:cs="宋体"/>
                <w:b w:val="0"/>
                <w:bCs w:val="0"/>
                <w:kern w:val="0"/>
                <w:sz w:val="21"/>
                <w:szCs w:val="21"/>
                <w:vertAlign w:val="baseline"/>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数据存储不全（电子或纸质档案缺失）</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月度数据传输“有效传输率”低于97%</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restart"/>
            <w:tcBorders>
              <w:top w:val="single" w:color="auto" w:sz="4" w:space="0"/>
              <w:left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Style w:val="17"/>
                <w:rFonts w:hint="eastAsia" w:ascii="宋体" w:hAnsi="宋体" w:eastAsia="宋体" w:cs="宋体"/>
                <w:b/>
                <w:bCs/>
                <w:color w:val="auto"/>
                <w:kern w:val="0"/>
                <w:sz w:val="21"/>
                <w:szCs w:val="21"/>
                <w:vertAlign w:val="baseline"/>
                <w:lang w:val="en-US" w:eastAsia="zh-CN" w:bidi="ar"/>
              </w:rPr>
              <w:t>设备运维​</w:t>
            </w:r>
            <w:r>
              <w:rPr>
                <w:rFonts w:hint="eastAsia" w:ascii="宋体" w:hAnsi="宋体" w:eastAsia="宋体" w:cs="宋体"/>
                <w:color w:val="auto"/>
                <w:kern w:val="0"/>
                <w:sz w:val="21"/>
                <w:szCs w:val="21"/>
                <w:lang w:val="en-US" w:eastAsia="zh-CN" w:bidi="ar"/>
              </w:rPr>
              <w:t>​</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1"/>
                <w:szCs w:val="21"/>
                <w:lang w:val="en-US"/>
              </w:rPr>
            </w:pPr>
            <w:r>
              <w:rPr>
                <w:rFonts w:hint="eastAsia" w:ascii="宋体" w:hAnsi="宋体" w:cs="宋体"/>
                <w:color w:val="auto"/>
                <w:kern w:val="0"/>
                <w:sz w:val="21"/>
                <w:szCs w:val="21"/>
                <w:lang w:val="en-US" w:eastAsia="zh-CN" w:bidi="ar"/>
              </w:rPr>
              <w:t>所有故障</w:t>
            </w:r>
            <w:r>
              <w:rPr>
                <w:rFonts w:hint="eastAsia" w:ascii="宋体" w:hAnsi="宋体" w:eastAsia="宋体" w:cs="宋体"/>
                <w:color w:val="auto"/>
                <w:kern w:val="0"/>
                <w:sz w:val="21"/>
                <w:szCs w:val="21"/>
                <w:lang w:val="en-US" w:eastAsia="zh-CN" w:bidi="ar"/>
              </w:rPr>
              <w:t>超4小时未处理</w:t>
            </w:r>
            <w:r>
              <w:rPr>
                <w:rFonts w:hint="eastAsia" w:ascii="宋体" w:hAnsi="宋体" w:cs="宋体"/>
                <w:color w:val="auto"/>
                <w:kern w:val="0"/>
                <w:sz w:val="21"/>
                <w:szCs w:val="21"/>
                <w:lang w:val="en-US" w:eastAsia="zh-CN" w:bidi="ar"/>
              </w:rPr>
              <w:t>（遇特殊原因除外）</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lang w:val="en-US"/>
              </w:rPr>
            </w:pPr>
            <w:r>
              <w:rPr>
                <w:rStyle w:val="17"/>
                <w:rFonts w:hint="eastAsia" w:ascii="宋体" w:hAnsi="宋体" w:eastAsia="宋体" w:cs="宋体"/>
                <w:b w:val="0"/>
                <w:bCs w:val="0"/>
                <w:kern w:val="0"/>
                <w:sz w:val="21"/>
                <w:szCs w:val="21"/>
                <w:vertAlign w:val="baseline"/>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color w:val="auto"/>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备件库缺项（缺润滑脂/皮带/电极等易损件）</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100元/项</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未按要求管理维护在线监测设备</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restart"/>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center"/>
              <w:rPr>
                <w:rFonts w:hint="eastAsia" w:ascii="宋体" w:hAnsi="宋体" w:eastAsia="宋体" w:cs="宋体"/>
                <w:sz w:val="21"/>
                <w:szCs w:val="21"/>
              </w:rPr>
            </w:pPr>
            <w:r>
              <w:rPr>
                <w:rStyle w:val="17"/>
                <w:rFonts w:hint="eastAsia" w:ascii="宋体" w:hAnsi="宋体" w:eastAsia="宋体" w:cs="宋体"/>
                <w:b/>
                <w:bCs/>
                <w:kern w:val="0"/>
                <w:sz w:val="21"/>
                <w:szCs w:val="21"/>
                <w:vertAlign w:val="baseline"/>
                <w:lang w:val="en-US" w:eastAsia="zh-CN" w:bidi="ar"/>
              </w:rPr>
              <w:t xml:space="preserve">  其他违规​</w:t>
            </w: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危险废物处置未提供联单</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right="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500元/次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vMerge w:val="continue"/>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left"/>
              <w:rPr>
                <w:rFonts w:hint="eastAsia" w:ascii="宋体" w:hAnsi="宋体" w:eastAsia="宋体" w:cs="宋体"/>
                <w:sz w:val="21"/>
                <w:szCs w:val="21"/>
              </w:rPr>
            </w:pPr>
          </w:p>
        </w:tc>
        <w:tc>
          <w:tcPr>
            <w:tcW w:w="2503"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药剂台账造假或使用非"消"字号次氯酸钠</w:t>
            </w:r>
          </w:p>
        </w:tc>
        <w:tc>
          <w:tcPr>
            <w:tcW w:w="1512"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rPr>
            </w:pPr>
            <w:r>
              <w:rPr>
                <w:rStyle w:val="17"/>
                <w:rFonts w:hint="eastAsia" w:ascii="宋体" w:hAnsi="宋体" w:eastAsia="宋体" w:cs="宋体"/>
                <w:b w:val="0"/>
                <w:bCs w:val="0"/>
                <w:kern w:val="0"/>
                <w:sz w:val="21"/>
                <w:szCs w:val="21"/>
                <w:vertAlign w:val="baseline"/>
                <w:lang w:val="en-US" w:eastAsia="zh-CN" w:bidi="ar"/>
              </w:rPr>
              <w:t>2000元/次</w:t>
            </w:r>
          </w:p>
        </w:tc>
        <w:tc>
          <w:tcPr>
            <w:tcW w:w="188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67"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jc w:val="center"/>
              <w:rPr>
                <w:rStyle w:val="17"/>
                <w:rFonts w:hint="eastAsia" w:ascii="宋体" w:hAnsi="宋体" w:eastAsia="宋体" w:cs="宋体"/>
                <w:bCs/>
                <w:kern w:val="0"/>
                <w:sz w:val="21"/>
                <w:szCs w:val="21"/>
                <w:vertAlign w:val="baseline"/>
                <w:lang w:val="en-US" w:eastAsia="zh-CN" w:bidi="ar"/>
              </w:rPr>
            </w:pPr>
            <w:r>
              <w:rPr>
                <w:rStyle w:val="17"/>
                <w:rFonts w:hint="eastAsia" w:ascii="宋体" w:hAnsi="宋体" w:eastAsia="宋体" w:cs="宋体"/>
                <w:bCs/>
                <w:kern w:val="0"/>
                <w:sz w:val="21"/>
                <w:szCs w:val="21"/>
                <w:vertAlign w:val="baseline"/>
                <w:lang w:val="en-US" w:eastAsia="zh-CN" w:bidi="ar"/>
              </w:rPr>
              <w:t>合计扣罚</w:t>
            </w:r>
          </w:p>
          <w:p>
            <w:pPr>
              <w:jc w:val="center"/>
              <w:rPr>
                <w:rFonts w:hint="eastAsia" w:ascii="宋体" w:hAnsi="宋体" w:eastAsia="宋体" w:cs="宋体"/>
                <w:sz w:val="21"/>
                <w:szCs w:val="21"/>
                <w:lang w:val="en-US" w:eastAsia="zh-CN"/>
              </w:rPr>
            </w:pPr>
            <w:r>
              <w:rPr>
                <w:rStyle w:val="17"/>
                <w:rFonts w:hint="eastAsia" w:ascii="宋体" w:hAnsi="宋体" w:eastAsia="宋体" w:cs="宋体"/>
                <w:bCs/>
                <w:kern w:val="0"/>
                <w:sz w:val="21"/>
                <w:szCs w:val="21"/>
                <w:vertAlign w:val="baseline"/>
                <w:lang w:val="en-US" w:eastAsia="zh-CN" w:bidi="ar"/>
              </w:rPr>
              <w:t>金额</w:t>
            </w:r>
          </w:p>
        </w:tc>
        <w:tc>
          <w:tcPr>
            <w:tcW w:w="5896" w:type="dxa"/>
            <w:gridSpan w:val="3"/>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c>
          <w:tcPr>
            <w:tcW w:w="1221" w:type="dxa"/>
            <w:tcBorders>
              <w:top w:val="single" w:color="auto" w:sz="4" w:space="0"/>
              <w:left w:val="single" w:color="auto" w:sz="4" w:space="0"/>
              <w:bottom w:val="single" w:color="auto" w:sz="4" w:space="0"/>
              <w:right w:val="single" w:color="auto" w:sz="4" w:space="0"/>
            </w:tcBorders>
            <w:shd w:val="clear" w:color="auto" w:fill="auto"/>
            <w:tcMar>
              <w:top w:w="150" w:type="dxa"/>
              <w:bottom w:w="150" w:type="dxa"/>
              <w:right w:w="180"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lang w:val="en-US" w:eastAsia="zh-CN" w:bidi="ar"/>
              </w:rPr>
            </w:pPr>
          </w:p>
        </w:tc>
      </w:tr>
    </w:tbl>
    <w:p>
      <w:pPr>
        <w:rPr>
          <w:rFonts w:hint="default"/>
          <w:u w:val="single"/>
          <w:lang w:val="en-US" w:eastAsia="zh-CN"/>
        </w:rPr>
      </w:pPr>
      <w:r>
        <w:rPr>
          <w:rFonts w:hint="eastAsia"/>
          <w:lang w:val="en-US" w:eastAsia="zh-CN"/>
        </w:rPr>
        <w:t>处理水量         上月数据：</w:t>
      </w:r>
      <w:r>
        <w:rPr>
          <w:rFonts w:hint="eastAsia"/>
          <w:u w:val="single"/>
          <w:lang w:val="en-US" w:eastAsia="zh-CN"/>
        </w:rPr>
        <w:t xml:space="preserve">        </w:t>
      </w:r>
      <w:r>
        <w:rPr>
          <w:rFonts w:hint="eastAsia"/>
          <w:u w:val="none"/>
          <w:lang w:val="en-US" w:eastAsia="zh-CN"/>
        </w:rPr>
        <w:t xml:space="preserve">   </w:t>
      </w:r>
      <w:r>
        <w:rPr>
          <w:rFonts w:hint="eastAsia"/>
          <w:lang w:val="en-US" w:eastAsia="zh-CN"/>
        </w:rPr>
        <w:t>本月数据：</w:t>
      </w:r>
      <w:r>
        <w:rPr>
          <w:rFonts w:hint="eastAsia"/>
          <w:u w:val="single"/>
          <w:lang w:val="en-US" w:eastAsia="zh-CN"/>
        </w:rPr>
        <w:t xml:space="preserve">        </w:t>
      </w:r>
      <w:r>
        <w:rPr>
          <w:rFonts w:hint="eastAsia"/>
          <w:u w:val="none"/>
          <w:lang w:val="en-US" w:eastAsia="zh-CN"/>
        </w:rPr>
        <w:t xml:space="preserve">   </w:t>
      </w:r>
      <w:r>
        <w:rPr>
          <w:rFonts w:hint="eastAsia"/>
          <w:lang w:val="en-US" w:eastAsia="zh-CN"/>
        </w:rPr>
        <w:t>实际处理量：</w:t>
      </w:r>
      <w:r>
        <w:rPr>
          <w:rFonts w:hint="eastAsia"/>
          <w:u w:val="single"/>
          <w:lang w:val="en-US" w:eastAsia="zh-CN"/>
        </w:rPr>
        <w:t xml:space="preserve">         </w:t>
      </w:r>
    </w:p>
    <w:p>
      <w:pPr>
        <w:rPr>
          <w:rFonts w:hint="eastAsia"/>
          <w:u w:val="single"/>
          <w:lang w:val="en-US" w:eastAsia="zh-CN"/>
        </w:rPr>
      </w:pPr>
      <w:r>
        <w:rPr>
          <w:rFonts w:hint="eastAsia"/>
          <w:lang w:val="en-US" w:eastAsia="zh-CN"/>
        </w:rPr>
        <w:t>单价   元/m³     合计金额：</w:t>
      </w:r>
      <w:r>
        <w:rPr>
          <w:rFonts w:hint="eastAsia"/>
          <w:u w:val="single"/>
          <w:lang w:val="en-US" w:eastAsia="zh-CN"/>
        </w:rPr>
        <w:t xml:space="preserve">        </w:t>
      </w:r>
      <w:r>
        <w:rPr>
          <w:rFonts w:hint="eastAsia"/>
          <w:lang w:val="en-US" w:eastAsia="zh-CN"/>
        </w:rPr>
        <w:t xml:space="preserve">   考核扣款：</w:t>
      </w:r>
      <w:r>
        <w:rPr>
          <w:rFonts w:hint="eastAsia"/>
          <w:u w:val="single"/>
          <w:lang w:val="en-US" w:eastAsia="zh-CN"/>
        </w:rPr>
        <w:t xml:space="preserve">        </w:t>
      </w:r>
      <w:r>
        <w:rPr>
          <w:rFonts w:hint="eastAsia"/>
          <w:u w:val="none"/>
          <w:lang w:val="en-US" w:eastAsia="zh-CN"/>
        </w:rPr>
        <w:t xml:space="preserve">   </w:t>
      </w:r>
      <w:r>
        <w:rPr>
          <w:rFonts w:hint="eastAsia"/>
          <w:lang w:val="en-US" w:eastAsia="zh-CN"/>
        </w:rPr>
        <w:t>实付金额：</w:t>
      </w:r>
      <w:r>
        <w:rPr>
          <w:rFonts w:hint="eastAsia"/>
          <w:u w:val="single"/>
          <w:lang w:val="en-US" w:eastAsia="zh-CN"/>
        </w:rPr>
        <w:t xml:space="preserve">        </w:t>
      </w:r>
    </w:p>
    <w:p>
      <w:pPr>
        <w:rPr>
          <w:rFonts w:hint="default"/>
          <w:lang w:val="en-US" w:eastAsia="zh-CN"/>
        </w:rPr>
      </w:pPr>
    </w:p>
    <w:p>
      <w:pPr>
        <w:rPr>
          <w:rFonts w:hint="default" w:ascii="仿宋_GB2312" w:hAnsi="仿宋_GB2312" w:eastAsia="仿宋_GB2312" w:cs="仿宋_GB2312"/>
          <w:b/>
          <w:bCs/>
          <w:color w:val="auto"/>
          <w:sz w:val="28"/>
          <w:szCs w:val="28"/>
          <w:lang w:val="en-US" w:eastAsia="zh-CN"/>
        </w:rPr>
      </w:pPr>
      <w:r>
        <w:rPr>
          <w:rFonts w:hint="eastAsia"/>
          <w:b/>
          <w:bCs/>
          <w:lang w:val="en-US" w:eastAsia="zh-CN"/>
        </w:rPr>
        <w:t>考核人：                              被考核人：</w:t>
      </w:r>
    </w:p>
    <w:p>
      <w:pPr>
        <w:pStyle w:val="13"/>
        <w:numPr>
          <w:ilvl w:val="0"/>
          <w:numId w:val="0"/>
        </w:numPr>
        <w:spacing w:line="360" w:lineRule="auto"/>
        <w:ind w:leftChars="0"/>
        <w:rPr>
          <w:rFonts w:hint="eastAsia" w:ascii="宋体" w:hAnsi="宋体" w:cs="宋体"/>
          <w:b/>
          <w:bCs/>
          <w:color w:val="auto"/>
          <w:sz w:val="24"/>
          <w:szCs w:val="24"/>
          <w:lang w:val="en-US" w:eastAsia="zh-CN"/>
        </w:rPr>
      </w:pPr>
    </w:p>
    <w:p>
      <w:pPr>
        <w:pStyle w:val="13"/>
        <w:numPr>
          <w:ilvl w:val="0"/>
          <w:numId w:val="0"/>
        </w:numPr>
        <w:spacing w:line="360" w:lineRule="auto"/>
        <w:ind w:leftChars="0"/>
        <w:rPr>
          <w:rFonts w:hint="eastAsia" w:ascii="宋体" w:hAnsi="宋体" w:cs="宋体"/>
          <w:b/>
          <w:bCs/>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50464"/>
    <w:multiLevelType w:val="singleLevel"/>
    <w:tmpl w:val="10150464"/>
    <w:lvl w:ilvl="0" w:tentative="0">
      <w:start w:val="2"/>
      <w:numFmt w:val="decimal"/>
      <w:suff w:val="nothing"/>
      <w:lvlText w:val="（%1）"/>
      <w:lvlJc w:val="left"/>
    </w:lvl>
  </w:abstractNum>
  <w:abstractNum w:abstractNumId="1">
    <w:nsid w:val="15EE6284"/>
    <w:multiLevelType w:val="singleLevel"/>
    <w:tmpl w:val="15EE6284"/>
    <w:lvl w:ilvl="0" w:tentative="0">
      <w:start w:val="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C04AB9"/>
    <w:rsid w:val="001C048E"/>
    <w:rsid w:val="00773474"/>
    <w:rsid w:val="00C04AB9"/>
    <w:rsid w:val="00E645F8"/>
    <w:rsid w:val="01176FC9"/>
    <w:rsid w:val="017D5F03"/>
    <w:rsid w:val="01F114A6"/>
    <w:rsid w:val="02443CCC"/>
    <w:rsid w:val="025F6874"/>
    <w:rsid w:val="04E26AD1"/>
    <w:rsid w:val="05030A96"/>
    <w:rsid w:val="052F2A11"/>
    <w:rsid w:val="05D36A51"/>
    <w:rsid w:val="068B011B"/>
    <w:rsid w:val="06907C59"/>
    <w:rsid w:val="072621AF"/>
    <w:rsid w:val="07310971"/>
    <w:rsid w:val="07DD37B5"/>
    <w:rsid w:val="08E4728B"/>
    <w:rsid w:val="09277273"/>
    <w:rsid w:val="09A84666"/>
    <w:rsid w:val="0A0B1D14"/>
    <w:rsid w:val="0A1A331C"/>
    <w:rsid w:val="0A6842D0"/>
    <w:rsid w:val="0BCE0884"/>
    <w:rsid w:val="0D293AB9"/>
    <w:rsid w:val="0DF26508"/>
    <w:rsid w:val="0ED94EF7"/>
    <w:rsid w:val="0F3B6424"/>
    <w:rsid w:val="0F6E05DA"/>
    <w:rsid w:val="10844227"/>
    <w:rsid w:val="10AB4F93"/>
    <w:rsid w:val="11335637"/>
    <w:rsid w:val="11363FD6"/>
    <w:rsid w:val="114C66F9"/>
    <w:rsid w:val="115B06EA"/>
    <w:rsid w:val="11954F74"/>
    <w:rsid w:val="121252E5"/>
    <w:rsid w:val="12A56C4B"/>
    <w:rsid w:val="12D847B9"/>
    <w:rsid w:val="135A3308"/>
    <w:rsid w:val="13B45A65"/>
    <w:rsid w:val="13B7677D"/>
    <w:rsid w:val="143D0625"/>
    <w:rsid w:val="14CB780F"/>
    <w:rsid w:val="15755FA6"/>
    <w:rsid w:val="1592753F"/>
    <w:rsid w:val="16B447CE"/>
    <w:rsid w:val="16B8213B"/>
    <w:rsid w:val="16E11692"/>
    <w:rsid w:val="17F46367"/>
    <w:rsid w:val="1824217E"/>
    <w:rsid w:val="189823E5"/>
    <w:rsid w:val="194C6DC7"/>
    <w:rsid w:val="19A566BD"/>
    <w:rsid w:val="19AF786C"/>
    <w:rsid w:val="1ABA1082"/>
    <w:rsid w:val="1B78353B"/>
    <w:rsid w:val="1BD9327F"/>
    <w:rsid w:val="1C6A2129"/>
    <w:rsid w:val="1D1263FE"/>
    <w:rsid w:val="1D4E7388"/>
    <w:rsid w:val="1DF876AE"/>
    <w:rsid w:val="1F1F123D"/>
    <w:rsid w:val="1F327F48"/>
    <w:rsid w:val="211D3C0E"/>
    <w:rsid w:val="217A4BBD"/>
    <w:rsid w:val="21F84B30"/>
    <w:rsid w:val="236429D9"/>
    <w:rsid w:val="23A45007"/>
    <w:rsid w:val="23BA18E2"/>
    <w:rsid w:val="244164D6"/>
    <w:rsid w:val="25075E2A"/>
    <w:rsid w:val="25522FC7"/>
    <w:rsid w:val="27467499"/>
    <w:rsid w:val="278D2F98"/>
    <w:rsid w:val="28DD52C9"/>
    <w:rsid w:val="290556B4"/>
    <w:rsid w:val="292C0E92"/>
    <w:rsid w:val="292C52A9"/>
    <w:rsid w:val="29D770B7"/>
    <w:rsid w:val="29E46E65"/>
    <w:rsid w:val="2AFE66B6"/>
    <w:rsid w:val="2C3D6F12"/>
    <w:rsid w:val="2C564ABA"/>
    <w:rsid w:val="2CE675AA"/>
    <w:rsid w:val="2CEB09E3"/>
    <w:rsid w:val="2D7F102E"/>
    <w:rsid w:val="2DD81DF4"/>
    <w:rsid w:val="2E054A00"/>
    <w:rsid w:val="2E91550E"/>
    <w:rsid w:val="2E951EA5"/>
    <w:rsid w:val="2F4E299F"/>
    <w:rsid w:val="2FF03EB0"/>
    <w:rsid w:val="2FFF2DE6"/>
    <w:rsid w:val="31E21BA9"/>
    <w:rsid w:val="323A4C76"/>
    <w:rsid w:val="33BD6F64"/>
    <w:rsid w:val="3465729A"/>
    <w:rsid w:val="34847DD4"/>
    <w:rsid w:val="34BE597D"/>
    <w:rsid w:val="34FE1914"/>
    <w:rsid w:val="355359F9"/>
    <w:rsid w:val="356E262C"/>
    <w:rsid w:val="36721EAF"/>
    <w:rsid w:val="372238D5"/>
    <w:rsid w:val="372F1B4E"/>
    <w:rsid w:val="3925443F"/>
    <w:rsid w:val="394E6C03"/>
    <w:rsid w:val="3A637D33"/>
    <w:rsid w:val="3A666D2F"/>
    <w:rsid w:val="3CA60B04"/>
    <w:rsid w:val="3DE53235"/>
    <w:rsid w:val="3EA736B7"/>
    <w:rsid w:val="3FF5587E"/>
    <w:rsid w:val="40B37147"/>
    <w:rsid w:val="42285AEE"/>
    <w:rsid w:val="42B94D60"/>
    <w:rsid w:val="434C33DE"/>
    <w:rsid w:val="4365651D"/>
    <w:rsid w:val="438A1AF7"/>
    <w:rsid w:val="45A100BA"/>
    <w:rsid w:val="45BB5620"/>
    <w:rsid w:val="47264D1B"/>
    <w:rsid w:val="47641563"/>
    <w:rsid w:val="48A51A6E"/>
    <w:rsid w:val="48DA7D0B"/>
    <w:rsid w:val="48DD765B"/>
    <w:rsid w:val="48EE4D0F"/>
    <w:rsid w:val="493514D3"/>
    <w:rsid w:val="4A7E09CA"/>
    <w:rsid w:val="4C2F65DE"/>
    <w:rsid w:val="4CD82F69"/>
    <w:rsid w:val="4D2770F7"/>
    <w:rsid w:val="4D4D5BFA"/>
    <w:rsid w:val="4DBC29E8"/>
    <w:rsid w:val="4EBD41B7"/>
    <w:rsid w:val="4FA03191"/>
    <w:rsid w:val="509326B7"/>
    <w:rsid w:val="511F2F07"/>
    <w:rsid w:val="514D3BF1"/>
    <w:rsid w:val="51FF27FD"/>
    <w:rsid w:val="524D6516"/>
    <w:rsid w:val="52636E23"/>
    <w:rsid w:val="52734B8D"/>
    <w:rsid w:val="529F39CA"/>
    <w:rsid w:val="536E5A80"/>
    <w:rsid w:val="542772F5"/>
    <w:rsid w:val="55C5681F"/>
    <w:rsid w:val="5698657F"/>
    <w:rsid w:val="57BF2D4E"/>
    <w:rsid w:val="57D81038"/>
    <w:rsid w:val="58983E6C"/>
    <w:rsid w:val="59BE7035"/>
    <w:rsid w:val="5A3B704B"/>
    <w:rsid w:val="5B522E03"/>
    <w:rsid w:val="5B6F3FED"/>
    <w:rsid w:val="5BF639CD"/>
    <w:rsid w:val="5C6555C1"/>
    <w:rsid w:val="5E5C67BE"/>
    <w:rsid w:val="5E830604"/>
    <w:rsid w:val="5E9A3CC2"/>
    <w:rsid w:val="608D07DE"/>
    <w:rsid w:val="60956D2B"/>
    <w:rsid w:val="610D2213"/>
    <w:rsid w:val="611B3CE4"/>
    <w:rsid w:val="616443C8"/>
    <w:rsid w:val="61B6185E"/>
    <w:rsid w:val="62B91A86"/>
    <w:rsid w:val="634F0D72"/>
    <w:rsid w:val="636C3E20"/>
    <w:rsid w:val="64044204"/>
    <w:rsid w:val="64841482"/>
    <w:rsid w:val="64A058D4"/>
    <w:rsid w:val="65586590"/>
    <w:rsid w:val="655B1BDC"/>
    <w:rsid w:val="668367C7"/>
    <w:rsid w:val="6703077D"/>
    <w:rsid w:val="67462B03"/>
    <w:rsid w:val="68725BBA"/>
    <w:rsid w:val="688B1C38"/>
    <w:rsid w:val="6917406C"/>
    <w:rsid w:val="698536CB"/>
    <w:rsid w:val="69D00DEB"/>
    <w:rsid w:val="6AEF52A0"/>
    <w:rsid w:val="6B3F3FBE"/>
    <w:rsid w:val="6B4D0B52"/>
    <w:rsid w:val="6C3669A7"/>
    <w:rsid w:val="6D1C7EA3"/>
    <w:rsid w:val="6D3A643F"/>
    <w:rsid w:val="6E366B93"/>
    <w:rsid w:val="6EF11FBD"/>
    <w:rsid w:val="6EFC713F"/>
    <w:rsid w:val="6F152DFC"/>
    <w:rsid w:val="6F1A6393"/>
    <w:rsid w:val="6F8C7562"/>
    <w:rsid w:val="6FAE437D"/>
    <w:rsid w:val="7018402A"/>
    <w:rsid w:val="70462F7A"/>
    <w:rsid w:val="705067E1"/>
    <w:rsid w:val="71793B16"/>
    <w:rsid w:val="724B66C7"/>
    <w:rsid w:val="72E60CA3"/>
    <w:rsid w:val="73021078"/>
    <w:rsid w:val="73977846"/>
    <w:rsid w:val="7508321E"/>
    <w:rsid w:val="755E46C6"/>
    <w:rsid w:val="75A55AFF"/>
    <w:rsid w:val="764B5DA3"/>
    <w:rsid w:val="76773B37"/>
    <w:rsid w:val="76AA29C3"/>
    <w:rsid w:val="77BA6C36"/>
    <w:rsid w:val="77CE4490"/>
    <w:rsid w:val="78092A6B"/>
    <w:rsid w:val="780F179D"/>
    <w:rsid w:val="784602A2"/>
    <w:rsid w:val="784A2258"/>
    <w:rsid w:val="78D233FE"/>
    <w:rsid w:val="7BD52101"/>
    <w:rsid w:val="7C29438A"/>
    <w:rsid w:val="7C7967BF"/>
    <w:rsid w:val="7E6F4ECF"/>
    <w:rsid w:val="7F1D01D6"/>
    <w:rsid w:val="7FCD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autoRedefine/>
    <w:qFormat/>
    <w:uiPriority w:val="0"/>
    <w:pPr>
      <w:keepNext/>
      <w:keepLines/>
      <w:adjustRightInd w:val="0"/>
      <w:spacing w:before="280" w:after="290" w:line="376" w:lineRule="atLeast"/>
      <w:outlineLvl w:val="3"/>
    </w:pPr>
    <w:rPr>
      <w:rFonts w:ascii="Arial" w:hAnsi="Arial" w:eastAsia="黑体" w:cs="Arial"/>
      <w:b/>
      <w:bCs/>
      <w:kern w:val="0"/>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cs="Calibri"/>
      <w:sz w:val="24"/>
      <w:szCs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Body Text Indent"/>
    <w:basedOn w:val="1"/>
    <w:autoRedefine/>
    <w:qFormat/>
    <w:uiPriority w:val="0"/>
    <w:pPr>
      <w:ind w:firstLine="630"/>
    </w:pPr>
    <w:rPr>
      <w:sz w:val="32"/>
      <w:szCs w:val="20"/>
    </w:rPr>
  </w:style>
  <w:style w:type="paragraph" w:styleId="8">
    <w:name w:val="Plain Text"/>
    <w:basedOn w:val="1"/>
    <w:autoRedefine/>
    <w:qFormat/>
    <w:uiPriority w:val="99"/>
    <w:pPr>
      <w:autoSpaceDE w:val="0"/>
      <w:autoSpaceDN w:val="0"/>
      <w:adjustRightInd w:val="0"/>
    </w:pPr>
    <w:rPr>
      <w:rFonts w:ascii="宋体" w:hAnsi="Tms Rmn"/>
      <w:kern w:val="0"/>
      <w:szCs w:val="20"/>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autoRedefine/>
    <w:qFormat/>
    <w:uiPriority w:val="0"/>
    <w:pPr>
      <w:spacing w:line="360" w:lineRule="auto"/>
      <w:ind w:left="30" w:leftChars="30" w:firstLine="420" w:firstLineChars="100"/>
    </w:pPr>
    <w:rPr>
      <w:rFonts w:ascii="宋体" w:hAnsi="宋体"/>
      <w:kern w:val="0"/>
      <w:sz w:val="24"/>
      <w:szCs w:val="18"/>
    </w:rPr>
  </w:style>
  <w:style w:type="paragraph" w:styleId="13">
    <w:name w:val="Body Text First Indent 2"/>
    <w:basedOn w:val="7"/>
    <w:autoRedefine/>
    <w:unhideWhenUsed/>
    <w:qFormat/>
    <w:uiPriority w:val="99"/>
    <w:pPr>
      <w:ind w:firstLine="420"/>
    </w:pPr>
    <w:rPr>
      <w:sz w:val="21"/>
    </w:rPr>
  </w:style>
  <w:style w:type="table" w:styleId="15">
    <w:name w:val="Table Grid"/>
    <w:basedOn w:val="14"/>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FollowedHyperlink"/>
    <w:basedOn w:val="16"/>
    <w:autoRedefine/>
    <w:qFormat/>
    <w:uiPriority w:val="0"/>
    <w:rPr>
      <w:color w:val="296FBE"/>
      <w:u w:val="none"/>
    </w:rPr>
  </w:style>
  <w:style w:type="character" w:styleId="19">
    <w:name w:val="HTML Definition"/>
    <w:basedOn w:val="16"/>
    <w:autoRedefine/>
    <w:qFormat/>
    <w:uiPriority w:val="0"/>
  </w:style>
  <w:style w:type="character" w:styleId="20">
    <w:name w:val="HTML Variable"/>
    <w:basedOn w:val="16"/>
    <w:autoRedefine/>
    <w:qFormat/>
    <w:uiPriority w:val="0"/>
  </w:style>
  <w:style w:type="character" w:styleId="21">
    <w:name w:val="Hyperlink"/>
    <w:basedOn w:val="16"/>
    <w:autoRedefine/>
    <w:qFormat/>
    <w:uiPriority w:val="0"/>
    <w:rPr>
      <w:color w:val="296FBE"/>
      <w:u w:val="none"/>
      <w:shd w:val="clear" w:fill="666666"/>
    </w:rPr>
  </w:style>
  <w:style w:type="character" w:styleId="22">
    <w:name w:val="HTML Code"/>
    <w:basedOn w:val="16"/>
    <w:autoRedefine/>
    <w:qFormat/>
    <w:uiPriority w:val="0"/>
    <w:rPr>
      <w:rFonts w:ascii="微软雅黑" w:hAnsi="微软雅黑" w:eastAsia="微软雅黑" w:cs="微软雅黑"/>
      <w:sz w:val="20"/>
    </w:rPr>
  </w:style>
  <w:style w:type="character" w:styleId="23">
    <w:name w:val="annotation reference"/>
    <w:basedOn w:val="16"/>
    <w:autoRedefine/>
    <w:qFormat/>
    <w:uiPriority w:val="0"/>
    <w:rPr>
      <w:sz w:val="21"/>
      <w:szCs w:val="21"/>
    </w:rPr>
  </w:style>
  <w:style w:type="character" w:styleId="24">
    <w:name w:val="HTML Cite"/>
    <w:basedOn w:val="16"/>
    <w:autoRedefine/>
    <w:qFormat/>
    <w:uiPriority w:val="0"/>
  </w:style>
  <w:style w:type="paragraph" w:customStyle="1" w:styleId="25">
    <w:name w:val="段落正文"/>
    <w:basedOn w:val="1"/>
    <w:autoRedefine/>
    <w:qFormat/>
    <w:uiPriority w:val="0"/>
    <w:pPr>
      <w:spacing w:beforeLines="50" w:line="360" w:lineRule="auto"/>
      <w:ind w:firstLine="200" w:firstLineChars="200"/>
    </w:pPr>
    <w:rPr>
      <w:rFonts w:ascii="Times New Roman"/>
      <w:spacing w:val="2"/>
      <w:sz w:val="24"/>
    </w:rPr>
  </w:style>
  <w:style w:type="paragraph" w:styleId="26">
    <w:name w:val="Quote"/>
    <w:basedOn w:val="1"/>
    <w:next w:val="1"/>
    <w:autoRedefine/>
    <w:qFormat/>
    <w:uiPriority w:val="0"/>
    <w:pPr>
      <w:wordWrap w:val="0"/>
      <w:spacing w:before="200" w:after="160"/>
      <w:ind w:left="864" w:right="864"/>
      <w:jc w:val="center"/>
    </w:pPr>
    <w:rPr>
      <w:rFonts w:ascii="Times New Roman"/>
      <w:i/>
      <w:sz w:val="21"/>
    </w:rPr>
  </w:style>
  <w:style w:type="character" w:customStyle="1" w:styleId="27">
    <w:name w:val="font31"/>
    <w:basedOn w:val="16"/>
    <w:autoRedefine/>
    <w:qFormat/>
    <w:uiPriority w:val="0"/>
    <w:rPr>
      <w:rFonts w:hint="default" w:ascii="Times New Roman" w:hAnsi="Times New Roman" w:cs="Times New Roman"/>
      <w:color w:val="000000"/>
      <w:sz w:val="22"/>
      <w:szCs w:val="22"/>
      <w:u w:val="none"/>
    </w:rPr>
  </w:style>
  <w:style w:type="character" w:customStyle="1" w:styleId="28">
    <w:name w:val="font11"/>
    <w:basedOn w:val="16"/>
    <w:autoRedefine/>
    <w:qFormat/>
    <w:uiPriority w:val="0"/>
    <w:rPr>
      <w:rFonts w:hint="eastAsia" w:ascii="宋体" w:hAnsi="宋体" w:eastAsia="宋体" w:cs="宋体"/>
      <w:color w:val="000000"/>
      <w:sz w:val="22"/>
      <w:szCs w:val="22"/>
      <w:u w:val="none"/>
    </w:rPr>
  </w:style>
  <w:style w:type="character" w:customStyle="1" w:styleId="29">
    <w:name w:val="w32"/>
    <w:basedOn w:val="16"/>
    <w:autoRedefine/>
    <w:qFormat/>
    <w:uiPriority w:val="0"/>
  </w:style>
  <w:style w:type="character" w:customStyle="1" w:styleId="30">
    <w:name w:val="button"/>
    <w:basedOn w:val="16"/>
    <w:autoRedefine/>
    <w:qFormat/>
    <w:uiPriority w:val="0"/>
  </w:style>
  <w:style w:type="character" w:customStyle="1" w:styleId="31">
    <w:name w:val="drapbtn"/>
    <w:basedOn w:val="16"/>
    <w:autoRedefine/>
    <w:qFormat/>
    <w:uiPriority w:val="0"/>
  </w:style>
  <w:style w:type="character" w:customStyle="1" w:styleId="32">
    <w:name w:val="pagechatarealistclose_box"/>
    <w:basedOn w:val="16"/>
    <w:autoRedefine/>
    <w:qFormat/>
    <w:uiPriority w:val="0"/>
  </w:style>
  <w:style w:type="character" w:customStyle="1" w:styleId="33">
    <w:name w:val="pagechatarealistclose_box1"/>
    <w:basedOn w:val="16"/>
    <w:autoRedefine/>
    <w:qFormat/>
    <w:uiPriority w:val="0"/>
  </w:style>
  <w:style w:type="character" w:customStyle="1" w:styleId="34">
    <w:name w:val="ico1654"/>
    <w:basedOn w:val="16"/>
    <w:autoRedefine/>
    <w:qFormat/>
    <w:uiPriority w:val="0"/>
  </w:style>
  <w:style w:type="character" w:customStyle="1" w:styleId="35">
    <w:name w:val="ico1655"/>
    <w:basedOn w:val="16"/>
    <w:autoRedefine/>
    <w:qFormat/>
    <w:uiPriority w:val="0"/>
  </w:style>
  <w:style w:type="character" w:customStyle="1" w:styleId="36">
    <w:name w:val="cdropright"/>
    <w:basedOn w:val="16"/>
    <w:autoRedefine/>
    <w:qFormat/>
    <w:uiPriority w:val="0"/>
  </w:style>
  <w:style w:type="character" w:customStyle="1" w:styleId="37">
    <w:name w:val="active6"/>
    <w:basedOn w:val="16"/>
    <w:autoRedefine/>
    <w:qFormat/>
    <w:uiPriority w:val="0"/>
    <w:rPr>
      <w:color w:val="00FF00"/>
      <w:shd w:val="clear" w:fill="111111"/>
    </w:rPr>
  </w:style>
  <w:style w:type="character" w:customStyle="1" w:styleId="38">
    <w:name w:val="biggerthanmax"/>
    <w:basedOn w:val="16"/>
    <w:autoRedefine/>
    <w:qFormat/>
    <w:uiPriority w:val="0"/>
    <w:rPr>
      <w:shd w:val="clear" w:fill="FFFF00"/>
    </w:rPr>
  </w:style>
  <w:style w:type="character" w:customStyle="1" w:styleId="39">
    <w:name w:val="token-input-delete-token"/>
    <w:basedOn w:val="16"/>
    <w:autoRedefine/>
    <w:qFormat/>
    <w:uiPriority w:val="0"/>
    <w:rPr>
      <w:color w:val="FFFFFF"/>
    </w:rPr>
  </w:style>
  <w:style w:type="character" w:customStyle="1" w:styleId="40">
    <w:name w:val="design_class"/>
    <w:basedOn w:val="16"/>
    <w:autoRedefine/>
    <w:qFormat/>
    <w:uiPriority w:val="0"/>
  </w:style>
  <w:style w:type="character" w:customStyle="1" w:styleId="41">
    <w:name w:val="tmpztreemove_arrow"/>
    <w:basedOn w:val="16"/>
    <w:autoRedefine/>
    <w:qFormat/>
    <w:uiPriority w:val="0"/>
  </w:style>
  <w:style w:type="character" w:customStyle="1" w:styleId="42">
    <w:name w:val="hilite"/>
    <w:basedOn w:val="16"/>
    <w:autoRedefine/>
    <w:qFormat/>
    <w:uiPriority w:val="0"/>
    <w:rPr>
      <w:color w:val="FFFFFF"/>
      <w:shd w:val="clear" w:fill="666677"/>
    </w:rPr>
  </w:style>
  <w:style w:type="character" w:customStyle="1" w:styleId="43">
    <w:name w:val="edit_class"/>
    <w:basedOn w:val="16"/>
    <w:autoRedefine/>
    <w:qFormat/>
    <w:uiPriority w:val="0"/>
  </w:style>
  <w:style w:type="character" w:customStyle="1" w:styleId="44">
    <w:name w:val="cdropleft"/>
    <w:basedOn w:val="16"/>
    <w:autoRedefine/>
    <w:qFormat/>
    <w:uiPriority w:val="0"/>
  </w:style>
  <w:style w:type="character" w:customStyle="1" w:styleId="45">
    <w:name w:val="cy"/>
    <w:basedOn w:val="16"/>
    <w:autoRedefine/>
    <w:qFormat/>
    <w:uiPriority w:val="0"/>
  </w:style>
  <w:style w:type="character" w:customStyle="1" w:styleId="46">
    <w:name w:val="xdrichtextbox2"/>
    <w:basedOn w:val="16"/>
    <w:autoRedefine/>
    <w:qFormat/>
    <w:uiPriority w:val="0"/>
  </w:style>
  <w:style w:type="character" w:customStyle="1" w:styleId="47">
    <w:name w:val="active"/>
    <w:basedOn w:val="16"/>
    <w:autoRedefine/>
    <w:qFormat/>
    <w:uiPriority w:val="0"/>
    <w:rPr>
      <w:color w:val="00FF00"/>
      <w:shd w:val="clear" w:fill="111111"/>
    </w:rPr>
  </w:style>
  <w:style w:type="character" w:customStyle="1" w:styleId="48">
    <w:name w:val="xdrichtextbox"/>
    <w:basedOn w:val="16"/>
    <w:autoRedefine/>
    <w:qFormat/>
    <w:uiPriority w:val="0"/>
    <w:rPr>
      <w:color w:val="auto"/>
      <w:sz w:val="18"/>
      <w:szCs w:val="18"/>
      <w:u w:val="none"/>
      <w:bdr w:val="single" w:color="DCDCDC" w:sz="8" w:space="0"/>
      <w:shd w:val="clear" w:fill="auto"/>
    </w:rPr>
  </w:style>
  <w:style w:type="character" w:customStyle="1" w:styleId="49">
    <w:name w:val="hilite6"/>
    <w:basedOn w:val="16"/>
    <w:autoRedefine/>
    <w:qFormat/>
    <w:uiPriority w:val="0"/>
    <w:rPr>
      <w:color w:val="FFFFFF"/>
      <w:shd w:val="clear" w:fill="666677"/>
    </w:rPr>
  </w:style>
  <w:style w:type="paragraph" w:customStyle="1" w:styleId="50">
    <w:name w:val="null3"/>
    <w:autoRedefine/>
    <w:hidden/>
    <w:qFormat/>
    <w:uiPriority w:val="0"/>
    <w:rPr>
      <w:rFonts w:hint="eastAsia" w:asciiTheme="minorHAnsi" w:hAnsiTheme="minorHAnsi" w:eastAsiaTheme="minorEastAsia" w:cstheme="minorBidi"/>
      <w:lang w:val="en-US" w:eastAsia="zh-Hans"/>
    </w:rPr>
  </w:style>
  <w:style w:type="paragraph" w:customStyle="1" w:styleId="51">
    <w:name w:val="正文 首行缩进:  2 字符"/>
    <w:basedOn w:val="1"/>
    <w:autoRedefine/>
    <w:qFormat/>
    <w:uiPriority w:val="0"/>
    <w:rPr>
      <w:rFonts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7569</Words>
  <Characters>8087</Characters>
  <Lines>4</Lines>
  <Paragraphs>1</Paragraphs>
  <TotalTime>14</TotalTime>
  <ScaleCrop>false</ScaleCrop>
  <LinksUpToDate>false</LinksUpToDate>
  <CharactersWithSpaces>8873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2022-04-08T09:47:00Z</dcterms:created>
  <dc:creator>骑着小猪去撞墙</dc:creator>
  <cp:lastModifiedBy>宋婷婷</cp:lastModifiedBy>
  <cp:lastPrinted>2024-12-16T02:17:00Z</cp:lastPrinted>
  <dcterms:modified xsi:type="dcterms:W3CDTF">2025-10-15T07:04:00Z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F163DF0F5EAA43BCA2392207C979CB9B_13</vt:lpwstr>
  </property>
  <property fmtid="{D5CDD505-2E9C-101B-9397-08002B2CF9AE}" pid="4" name="KSOTemplateDocerSaveRecord">
    <vt:lpwstr>eyJoZGlkIjoiMjc5NTk3NTVkMTI2NmZiOTY0YjVjMDRiNzkxOTVmNWMiLCJ1c2VySWQiOiIxNjQ5MTg4Mzk1In0=</vt:lpwstr>
  </property>
</Properties>
</file>