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3F84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center"/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</w:rPr>
        <w:t>中频脉冲电疗仪参数</w:t>
      </w:r>
    </w:p>
    <w:p w14:paraId="4E354F1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b/>
          <w:bCs w:val="0"/>
          <w:kern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技术参数</w:t>
      </w:r>
    </w:p>
    <w:p w14:paraId="6EC47E5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▲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内存≥70处方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低频调制中频电流疗法、离子导入、正弦调制电流疗法、脉冲调制电流疗法、等幅中频电流疗法、干扰电流疗法；</w:t>
      </w:r>
    </w:p>
    <w:p w14:paraId="54AA213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输出信号的工作频率范围：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2KHz～10KHz，其允差为±10%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；</w:t>
      </w:r>
    </w:p>
    <w:p w14:paraId="0B2E50A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在不同负载下的输出电流变化率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kern w:val="0"/>
          <w:sz w:val="28"/>
          <w:szCs w:val="28"/>
        </w:rPr>
        <w:t>10%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；</w:t>
      </w:r>
    </w:p>
    <w:p w14:paraId="26983AE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输出的调制频率范围：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0Hz～150Hz, 允差±10%。</w:t>
      </w:r>
    </w:p>
    <w:p w14:paraId="21939A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干扰电差频频率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0～200Hz范围内的单一频率或频段, 允差在±10%或1Hz取较大值。</w:t>
      </w:r>
    </w:p>
    <w:p w14:paraId="3E455D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干扰电动态节律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4s～10s范围内，允差±10%；动态位移应不超过动态节律的±30%。</w:t>
      </w:r>
    </w:p>
    <w:p w14:paraId="76B4324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电疗仪的调幅度: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0%、25%、50%、75%，100%，允差±5%。</w:t>
      </w:r>
    </w:p>
    <w:p w14:paraId="4577BCC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干扰电差频变化周期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15s～30s，允差±10%。</w:t>
      </w:r>
    </w:p>
    <w:p w14:paraId="797ADC8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▲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电疗仪输出的调制波形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方波、尖波、三角波、锯齿波、指数波、正弦波、梯形波、扇形波和脉冲波及他们之间的组合，由程序设定。</w:t>
      </w:r>
    </w:p>
    <w:p w14:paraId="7985343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纯交流的波形，最大输出电流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kern w:val="0"/>
          <w:sz w:val="28"/>
          <w:szCs w:val="28"/>
        </w:rPr>
        <w:t>100mA，含直流分量时，输出电流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kern w:val="0"/>
          <w:sz w:val="28"/>
          <w:szCs w:val="28"/>
        </w:rPr>
        <w:t>80mA。</w:t>
      </w:r>
    </w:p>
    <w:p w14:paraId="13903EC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▲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具有透热功能，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≥6</w:t>
      </w:r>
      <w:r>
        <w:rPr>
          <w:rFonts w:hint="eastAsia" w:ascii="宋体" w:hAnsi="宋体" w:eastAsia="宋体" w:cs="宋体"/>
          <w:kern w:val="0"/>
          <w:sz w:val="28"/>
          <w:szCs w:val="28"/>
        </w:rPr>
        <w:t>挡可调，其应用部分的最大发热温度应≤60℃。</w:t>
      </w:r>
    </w:p>
    <w:p w14:paraId="23CE7AC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topLinePunct w:val="0"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输出方式：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kern w:val="0"/>
          <w:sz w:val="28"/>
          <w:szCs w:val="28"/>
        </w:rPr>
        <w:t>双向波（AC-中频电疗模式）及单向波（DC-离子导入模式）。</w:t>
      </w:r>
    </w:p>
    <w:p w14:paraId="549DDD34">
      <w:pPr>
        <w:keepNext w:val="0"/>
        <w:keepLines w:val="0"/>
        <w:pageBreakBefore w:val="0"/>
        <w:widowControl/>
        <w:tabs>
          <w:tab w:val="left" w:pos="778"/>
        </w:tabs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二、配置清单：</w:t>
      </w:r>
    </w:p>
    <w:p w14:paraId="78BCB1CB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主机1台；</w:t>
      </w:r>
    </w:p>
    <w:p w14:paraId="1AC11E97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透热导电橡胶（三孔）四队；</w:t>
      </w:r>
    </w:p>
    <w:p w14:paraId="78C5D202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非透热导电橡胶（三孔）2对；</w:t>
      </w:r>
    </w:p>
    <w:p w14:paraId="6B37C8E7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透热输出线（四芯）3根；</w:t>
      </w:r>
    </w:p>
    <w:p w14:paraId="4043DB9F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kern w:val="0"/>
          <w:sz w:val="28"/>
          <w:szCs w:val="28"/>
        </w:rPr>
        <w:t>透热衬垫4对；</w:t>
      </w:r>
    </w:p>
    <w:p w14:paraId="44466C54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自粘电极2对；</w:t>
      </w:r>
    </w:p>
    <w:p w14:paraId="4684B57C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转换线4根；</w:t>
      </w:r>
    </w:p>
    <w:p w14:paraId="1CA2222C">
      <w:pPr>
        <w:keepNext w:val="0"/>
        <w:keepLines w:val="0"/>
        <w:pageBreakBefore w:val="0"/>
        <w:widowControl/>
        <w:kinsoku/>
        <w:wordWrap/>
        <w:topLinePunct w:val="0"/>
        <w:bidi w:val="0"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绑带1副；</w:t>
      </w:r>
    </w:p>
    <w:p w14:paraId="685D9225"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kern w:val="4"/>
          <w:sz w:val="24"/>
          <w:szCs w:val="24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81BA2"/>
    <w:rsid w:val="180353B1"/>
    <w:rsid w:val="213D3A2A"/>
    <w:rsid w:val="2EB81BA2"/>
    <w:rsid w:val="7320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黑体"/>
      <w:color w:val="000000"/>
      <w:sz w:val="24"/>
      <w:szCs w:val="24"/>
      <w:lang w:val="en-US" w:eastAsia="zh-CN" w:bidi="ar-SA"/>
    </w:rPr>
  </w:style>
  <w:style w:type="paragraph" w:customStyle="1" w:styleId="3">
    <w:name w:val="大标题"/>
    <w:basedOn w:val="1"/>
    <w:next w:val="4"/>
    <w:qFormat/>
    <w:uiPriority w:val="0"/>
    <w:pPr>
      <w:jc w:val="center"/>
    </w:pPr>
    <w:rPr>
      <w:rFonts w:ascii="Arial" w:hAnsi="Arial" w:eastAsia="宋体"/>
      <w:b/>
      <w:sz w:val="28"/>
      <w:szCs w:val="24"/>
    </w:rPr>
  </w:style>
  <w:style w:type="paragraph" w:styleId="4">
    <w:name w:val="Body Text First Indent 2"/>
    <w:basedOn w:val="5"/>
    <w:next w:val="1"/>
    <w:qFormat/>
    <w:uiPriority w:val="0"/>
    <w:pPr>
      <w:overflowPunct w:val="0"/>
      <w:adjustRightInd w:val="0"/>
      <w:spacing w:line="500" w:lineRule="exact"/>
      <w:ind w:firstLine="420" w:firstLineChars="200"/>
      <w:textAlignment w:val="baseline"/>
    </w:pPr>
    <w:rPr>
      <w:rFonts w:eastAsia="仿宋_GB2312"/>
      <w:kern w:val="28"/>
      <w:sz w:val="28"/>
    </w:rPr>
  </w:style>
  <w:style w:type="paragraph" w:styleId="5">
    <w:name w:val="Body Text Indent"/>
    <w:basedOn w:val="1"/>
    <w:qFormat/>
    <w:uiPriority w:val="99"/>
    <w:pPr>
      <w:spacing w:line="400" w:lineRule="exact"/>
      <w:ind w:left="630"/>
    </w:pPr>
    <w:rPr>
      <w:rFonts w:ascii="楷体_GB2312"/>
      <w:sz w:val="30"/>
      <w:szCs w:val="30"/>
    </w:r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1073</Words>
  <Characters>1191</Characters>
  <Lines>0</Lines>
  <Paragraphs>0</Paragraphs>
  <TotalTime>0</TotalTime>
  <ScaleCrop>false</ScaleCrop>
  <LinksUpToDate>false</LinksUpToDate>
  <CharactersWithSpaces>1207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2025-01-02T07:37:00Z</dcterms:created>
  <dc:creator>鬘</dc:creator>
  <cp:lastModifiedBy>唐杨</cp:lastModifiedBy>
  <dcterms:modified xsi:type="dcterms:W3CDTF">2025-01-10T08:09:16Z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611C29AA690E4DBF902EB666060894A9_11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