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022FF3">
      <w:pPr>
        <w:pStyle w:val="3"/>
        <w:pageBreakBefore w:val="0"/>
        <w:kinsoku/>
        <w:wordWrap/>
        <w:overflowPunct/>
        <w:topLinePunct w:val="0"/>
        <w:bidi w:val="0"/>
        <w:snapToGrid/>
        <w:spacing w:before="0" w:beforeLines="0" w:after="0" w:afterLines="0" w:line="360" w:lineRule="auto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心电</w:t>
      </w:r>
      <w:r>
        <w:rPr>
          <w:rFonts w:hint="eastAsia" w:ascii="宋体" w:hAnsi="宋体" w:eastAsia="宋体" w:cs="宋体"/>
          <w:sz w:val="28"/>
          <w:szCs w:val="28"/>
        </w:rPr>
        <w:t>监护仪参数</w:t>
      </w:r>
    </w:p>
    <w:p w14:paraId="4DD3188E">
      <w:pPr>
        <w:pageBreakBefore w:val="0"/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一、技术参数</w:t>
      </w:r>
    </w:p>
    <w:p w14:paraId="54974060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模块化插件式床边监护仪，主机、显示屏和插件槽一体化设计，主机插槽数≥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</w:rPr>
        <w:t>个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E765307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▲2、具备</w:t>
      </w:r>
      <w:r>
        <w:rPr>
          <w:rFonts w:hint="eastAsia" w:ascii="宋体" w:hAnsi="宋体" w:eastAsia="宋体" w:cs="宋体"/>
          <w:sz w:val="28"/>
          <w:szCs w:val="28"/>
        </w:rPr>
        <w:t>≥15英寸彩色触摸屏，高分辨率≥1920*1080像素，≥8通道显示，显示屏亮度自动调节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5344E7D2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</w:rPr>
        <w:t>工作海拔高度≥4550米，满足高原地区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08CFC922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▲4、</w:t>
      </w:r>
      <w:r>
        <w:rPr>
          <w:rFonts w:hint="eastAsia" w:ascii="宋体" w:hAnsi="宋体" w:eastAsia="宋体" w:cs="宋体"/>
          <w:sz w:val="28"/>
          <w:szCs w:val="28"/>
        </w:rPr>
        <w:t>基本功能模块支持心电，呼吸，心率，无创血压，血氧饱和度，脉搏，双通道体温和双通道有创血压的同时监测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7CDD46C6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▲5、</w:t>
      </w:r>
      <w:r>
        <w:rPr>
          <w:rFonts w:hint="eastAsia" w:ascii="宋体" w:hAnsi="宋体" w:eastAsia="宋体" w:cs="宋体"/>
          <w:sz w:val="28"/>
          <w:szCs w:val="28"/>
        </w:rPr>
        <w:t>基本功能模块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支持升级</w:t>
      </w:r>
      <w:r>
        <w:rPr>
          <w:rFonts w:hint="eastAsia" w:ascii="宋体" w:hAnsi="宋体" w:eastAsia="宋体" w:cs="宋体"/>
          <w:sz w:val="28"/>
          <w:szCs w:val="28"/>
        </w:rPr>
        <w:t>从监护仪拔出后作为一个独立的监护仪支持病人的无缝转移，具有显示屏，屏幕尺寸≥5英寸，内置锂电池供电≥4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h</w:t>
      </w:r>
      <w:r>
        <w:rPr>
          <w:rFonts w:hint="eastAsia" w:ascii="宋体" w:hAnsi="宋体" w:eastAsia="宋体" w:cs="宋体"/>
          <w:sz w:val="28"/>
          <w:szCs w:val="28"/>
        </w:rPr>
        <w:t>，无风扇设计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47417FD3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</w:rPr>
        <w:t>支持3/5导心电监测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8"/>
          <w:szCs w:val="28"/>
        </w:rPr>
        <w:t>支持升级12导心电测量，并在监护仪上完成12导静息分析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。</w:t>
      </w:r>
    </w:p>
    <w:p w14:paraId="0C5CBED1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</w:rPr>
        <w:t>支持房颤心律失常分析功能，标配支持≥25种实时心律失常分析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2D8F973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</w:rPr>
        <w:t>支持≥4通道心电进行多导心电分析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068458ED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▲9、</w:t>
      </w:r>
      <w:r>
        <w:rPr>
          <w:rFonts w:hint="eastAsia" w:ascii="宋体" w:hAnsi="宋体" w:eastAsia="宋体" w:cs="宋体"/>
          <w:sz w:val="28"/>
          <w:szCs w:val="28"/>
        </w:rPr>
        <w:t>提供ST段分析功能，适用于成人，小儿和新生儿，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支持在专门的窗口中分组显示心脏前壁，下壁和侧壁的ST实时片段和参考片段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p w14:paraId="4138627E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10、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支持RR呼吸率测量，测量范围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rpm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5DBF5AD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▲11、</w:t>
      </w:r>
      <w:r>
        <w:rPr>
          <w:rFonts w:hint="eastAsia" w:ascii="宋体" w:hAnsi="宋体" w:eastAsia="宋体" w:cs="宋体"/>
          <w:sz w:val="28"/>
          <w:szCs w:val="28"/>
        </w:rPr>
        <w:t>具有QT/QTc实时连续测量功能，提供QT，QTc和ΔQTc参数值的显示</w:t>
      </w:r>
    </w:p>
    <w:p w14:paraId="4BC79D5F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sz w:val="28"/>
          <w:szCs w:val="28"/>
        </w:rPr>
        <w:t>无创血压提供手动、自动间隔、连续、序列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整点五</w:t>
      </w:r>
      <w:r>
        <w:rPr>
          <w:rFonts w:hint="eastAsia" w:ascii="宋体" w:hAnsi="宋体" w:eastAsia="宋体" w:cs="宋体"/>
          <w:sz w:val="28"/>
          <w:szCs w:val="28"/>
        </w:rPr>
        <w:t>种测量模式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无创血压适用于成人，小儿和新生儿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7B01D47F">
      <w:pPr>
        <w:pageBreakBefore w:val="0"/>
        <w:widowControl w:val="0"/>
        <w:numPr>
          <w:ilvl w:val="0"/>
          <w:numId w:val="0"/>
        </w:numPr>
        <w:tabs>
          <w:tab w:val="left" w:pos="720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13、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NIBP成人病人类型收缩压测量范围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290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mmHg，舒张压测量范围：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250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mmHg，平均压测量范围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260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mmHg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C96771F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14、支持</w:t>
      </w:r>
      <w:r>
        <w:rPr>
          <w:rFonts w:hint="eastAsia" w:ascii="宋体" w:hAnsi="宋体" w:eastAsia="宋体" w:cs="宋体"/>
          <w:sz w:val="28"/>
          <w:szCs w:val="28"/>
        </w:rPr>
        <w:t>灌注指数（PI）的监测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CC7003E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15、</w:t>
      </w:r>
      <w:r>
        <w:rPr>
          <w:rFonts w:hint="eastAsia" w:ascii="宋体" w:hAnsi="宋体" w:eastAsia="宋体" w:cs="宋体"/>
          <w:sz w:val="28"/>
          <w:szCs w:val="28"/>
        </w:rPr>
        <w:t>配置指套式血氧探头，支持浸泡清洁与消毒，防水等级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IPx7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36A1F36E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16、</w:t>
      </w:r>
      <w:r>
        <w:rPr>
          <w:rFonts w:hint="eastAsia" w:ascii="宋体" w:hAnsi="宋体" w:eastAsia="宋体" w:cs="宋体"/>
          <w:sz w:val="28"/>
          <w:szCs w:val="28"/>
        </w:rPr>
        <w:t>支持双通道有创压IBP监测，支持升级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4通道有创压监测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28109F9A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17、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IBP有创压测量范围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≥（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-50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360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mmHg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DE87FA7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18、支持</w:t>
      </w:r>
      <w:r>
        <w:rPr>
          <w:rFonts w:hint="eastAsia" w:ascii="宋体" w:hAnsi="宋体" w:eastAsia="宋体" w:cs="宋体"/>
          <w:sz w:val="28"/>
          <w:szCs w:val="28"/>
        </w:rPr>
        <w:t xml:space="preserve">肺动脉锲压（PAWP）的监测和PPV参数监测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3470835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19、</w:t>
      </w:r>
      <w:r>
        <w:rPr>
          <w:rFonts w:hint="eastAsia" w:ascii="宋体" w:hAnsi="宋体" w:eastAsia="宋体" w:cs="宋体"/>
          <w:sz w:val="28"/>
          <w:szCs w:val="28"/>
        </w:rPr>
        <w:t>支持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宋体" w:hAnsi="宋体" w:eastAsia="宋体" w:cs="宋体"/>
          <w:sz w:val="28"/>
          <w:szCs w:val="28"/>
        </w:rPr>
        <w:t>4道IBP波形叠加显示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74B3DBC9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▲20、</w:t>
      </w:r>
      <w:r>
        <w:rPr>
          <w:rFonts w:hint="eastAsia" w:ascii="宋体" w:hAnsi="宋体" w:eastAsia="宋体" w:cs="宋体"/>
          <w:sz w:val="28"/>
          <w:szCs w:val="28"/>
        </w:rPr>
        <w:t>支持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升级</w:t>
      </w:r>
      <w:r>
        <w:rPr>
          <w:rFonts w:hint="eastAsia" w:ascii="宋体" w:hAnsi="宋体" w:eastAsia="宋体" w:cs="宋体"/>
          <w:sz w:val="28"/>
          <w:szCs w:val="28"/>
        </w:rPr>
        <w:t>主流、旁流EtCO2监测模块，采用旁流技术，支持升级顺磁氧监测技术进行氧气监测，水槽易用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可</w:t>
      </w:r>
      <w:r>
        <w:rPr>
          <w:rFonts w:hint="eastAsia" w:ascii="宋体" w:hAnsi="宋体" w:eastAsia="宋体" w:cs="宋体"/>
          <w:sz w:val="28"/>
          <w:szCs w:val="28"/>
        </w:rPr>
        <w:t>快速更换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2407D9F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▲21、</w:t>
      </w:r>
      <w:r>
        <w:rPr>
          <w:rFonts w:hint="eastAsia" w:ascii="宋体" w:hAnsi="宋体" w:eastAsia="宋体" w:cs="宋体"/>
          <w:sz w:val="28"/>
          <w:szCs w:val="28"/>
        </w:rPr>
        <w:t>支持升级模块，进行BIS，NMT参数监测，并通过三类注册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5DEEB36C">
      <w:pPr>
        <w:pStyle w:val="14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22、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支持升级模块，与主流呼吸机品牌的呼吸机相连，实现呼吸机设备的信息在监护仪上显示、存储、记录、打印或者用于参与计算。</w:t>
      </w:r>
    </w:p>
    <w:p w14:paraId="09D581EB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23、</w:t>
      </w:r>
      <w:r>
        <w:rPr>
          <w:rFonts w:hint="eastAsia" w:ascii="宋体" w:hAnsi="宋体" w:eastAsia="宋体" w:cs="宋体"/>
          <w:sz w:val="28"/>
          <w:szCs w:val="28"/>
        </w:rPr>
        <w:t>具有图形化报警指示功能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4756CC46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▲24、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具备血液动力学，药物计算，氧合计算，通气计算和肾功能计算功能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D8EFBE6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25、具备</w:t>
      </w:r>
      <w:r>
        <w:rPr>
          <w:rFonts w:hint="eastAsia" w:ascii="宋体" w:hAnsi="宋体" w:eastAsia="宋体" w:cs="宋体"/>
          <w:sz w:val="28"/>
          <w:szCs w:val="28"/>
        </w:rPr>
        <w:t>≥120小时（分辨率1分钟）趋势表、趋势图回顾</w:t>
      </w:r>
    </w:p>
    <w:p w14:paraId="2C5D4C53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26、具备</w:t>
      </w:r>
      <w:r>
        <w:rPr>
          <w:rFonts w:hint="eastAsia" w:ascii="宋体" w:hAnsi="宋体" w:eastAsia="宋体" w:cs="宋体"/>
          <w:sz w:val="28"/>
          <w:szCs w:val="28"/>
        </w:rPr>
        <w:t>≥1000条事件回顾。每条报警事件至少能够存储≥32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s</w:t>
      </w:r>
      <w:r>
        <w:rPr>
          <w:rFonts w:hint="eastAsia" w:ascii="宋体" w:hAnsi="宋体" w:eastAsia="宋体" w:cs="宋体"/>
          <w:sz w:val="28"/>
          <w:szCs w:val="28"/>
        </w:rPr>
        <w:t>三道相关波形，以及报警触发时所有测量参数值</w:t>
      </w:r>
    </w:p>
    <w:p w14:paraId="5E095740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▲27、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具备</w:t>
      </w:r>
      <w:r>
        <w:rPr>
          <w:rFonts w:hint="eastAsia" w:ascii="宋体" w:hAnsi="宋体" w:eastAsia="宋体" w:cs="宋体"/>
          <w:sz w:val="28"/>
          <w:szCs w:val="28"/>
        </w:rPr>
        <w:t>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40小时全息波形的存储与回顾功能</w:t>
      </w:r>
    </w:p>
    <w:p w14:paraId="7CA41438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28、具备</w:t>
      </w:r>
      <w:r>
        <w:rPr>
          <w:rFonts w:hint="eastAsia" w:ascii="宋体" w:hAnsi="宋体" w:eastAsia="宋体" w:cs="宋体"/>
          <w:sz w:val="28"/>
          <w:szCs w:val="28"/>
        </w:rPr>
        <w:t>≥120小时ST波形片段的存储与回顾</w:t>
      </w:r>
    </w:p>
    <w:p w14:paraId="6376DD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29、</w:t>
      </w:r>
      <w:r>
        <w:rPr>
          <w:rFonts w:hint="eastAsia" w:ascii="宋体" w:hAnsi="宋体" w:eastAsia="宋体" w:cs="宋体"/>
          <w:sz w:val="28"/>
          <w:szCs w:val="28"/>
        </w:rPr>
        <w:t>工作模式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至少包含</w:t>
      </w:r>
      <w:r>
        <w:rPr>
          <w:rFonts w:hint="eastAsia" w:ascii="宋体" w:hAnsi="宋体" w:eastAsia="宋体" w:cs="宋体"/>
          <w:sz w:val="28"/>
          <w:szCs w:val="28"/>
        </w:rPr>
        <w:t>：监护模式、待机模式、体外循环模式模式、插管模式，夜间模式、隐私模式、演示模式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4EDC2811"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二、配置清单</w:t>
      </w:r>
    </w:p>
    <w:p w14:paraId="1C6E44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1、序列号小标贴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</w:p>
    <w:p w14:paraId="66100E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2、心电电极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</w:p>
    <w:p w14:paraId="2ECB03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3、血氧主电缆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</w:p>
    <w:p w14:paraId="11E13F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4、血压袖套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</w:p>
    <w:p w14:paraId="518A7B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5、分体式心电主电缆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</w:p>
    <w:p w14:paraId="228CB5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6、导联线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</w:p>
    <w:p w14:paraId="05E79C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7、N15主机（带IBP）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</w:p>
    <w:p w14:paraId="450E90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8、血氧探头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</w:p>
    <w:p w14:paraId="5F23EC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9、导气管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</w:p>
    <w:p w14:paraId="7A5DF4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10、IBP附件包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</w:p>
    <w:p w14:paraId="0B5C80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、电池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</w:p>
    <w:p w14:paraId="1FAF7381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after="0" w:line="36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3NjNhZWZlMWM5NDk1OGFjNTc5OGQ5NzA5YTM3NjgifQ=="/>
  </w:docVars>
  <w:rsids>
    <w:rsidRoot w:val="008207C1"/>
    <w:rsid w:val="000223C8"/>
    <w:rsid w:val="000968C4"/>
    <w:rsid w:val="000A1B99"/>
    <w:rsid w:val="000E0912"/>
    <w:rsid w:val="00172B8F"/>
    <w:rsid w:val="001C33D9"/>
    <w:rsid w:val="0020430D"/>
    <w:rsid w:val="002C2155"/>
    <w:rsid w:val="002C7D6F"/>
    <w:rsid w:val="0037133C"/>
    <w:rsid w:val="003C7331"/>
    <w:rsid w:val="003E095F"/>
    <w:rsid w:val="004260C6"/>
    <w:rsid w:val="00437F7C"/>
    <w:rsid w:val="004445A9"/>
    <w:rsid w:val="00483B03"/>
    <w:rsid w:val="00503E3F"/>
    <w:rsid w:val="00557EBD"/>
    <w:rsid w:val="005D23FB"/>
    <w:rsid w:val="006160E4"/>
    <w:rsid w:val="0063019F"/>
    <w:rsid w:val="006455C6"/>
    <w:rsid w:val="00691A73"/>
    <w:rsid w:val="0075173C"/>
    <w:rsid w:val="007615AB"/>
    <w:rsid w:val="007C2F42"/>
    <w:rsid w:val="007D1C10"/>
    <w:rsid w:val="007D64CF"/>
    <w:rsid w:val="008207C1"/>
    <w:rsid w:val="008619E4"/>
    <w:rsid w:val="0087580C"/>
    <w:rsid w:val="0088614C"/>
    <w:rsid w:val="008F0CDE"/>
    <w:rsid w:val="00941947"/>
    <w:rsid w:val="0096575B"/>
    <w:rsid w:val="00966FAC"/>
    <w:rsid w:val="00975F0C"/>
    <w:rsid w:val="009C1945"/>
    <w:rsid w:val="009E1D11"/>
    <w:rsid w:val="00A63CEE"/>
    <w:rsid w:val="00AC36C4"/>
    <w:rsid w:val="00BA5BE9"/>
    <w:rsid w:val="00BB397F"/>
    <w:rsid w:val="00C13182"/>
    <w:rsid w:val="00C16965"/>
    <w:rsid w:val="00C22B7D"/>
    <w:rsid w:val="00C66DD5"/>
    <w:rsid w:val="00C73A95"/>
    <w:rsid w:val="00CE5026"/>
    <w:rsid w:val="00D167D2"/>
    <w:rsid w:val="00D2735E"/>
    <w:rsid w:val="00E16F11"/>
    <w:rsid w:val="00E22AD2"/>
    <w:rsid w:val="00EA0939"/>
    <w:rsid w:val="00EE4C3A"/>
    <w:rsid w:val="00F068E0"/>
    <w:rsid w:val="00F1653D"/>
    <w:rsid w:val="00F64A66"/>
    <w:rsid w:val="00F71E1C"/>
    <w:rsid w:val="00FA009D"/>
    <w:rsid w:val="00FC31CA"/>
    <w:rsid w:val="00FE1082"/>
    <w:rsid w:val="03215A31"/>
    <w:rsid w:val="164054CC"/>
    <w:rsid w:val="2E0B0875"/>
    <w:rsid w:val="3922173F"/>
    <w:rsid w:val="3C2F1D9E"/>
    <w:rsid w:val="66592FCD"/>
    <w:rsid w:val="6A77077D"/>
    <w:rsid w:val="725A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64" w:lineRule="auto"/>
    </w:pPr>
    <w:rPr>
      <w:rFonts w:asciiTheme="minorHAnsi" w:hAnsiTheme="minorHAnsi" w:eastAsiaTheme="minorEastAsia" w:cstheme="minorBidi"/>
      <w:kern w:val="0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autoRedefine/>
    <w:qFormat/>
    <w:uiPriority w:val="0"/>
    <w:pPr>
      <w:widowControl w:val="0"/>
      <w:spacing w:after="0" w:line="240" w:lineRule="auto"/>
    </w:pPr>
    <w:rPr>
      <w:rFonts w:ascii="Times New Roman" w:hAnsi="Times New Roman" w:eastAsia="宋体" w:cs="Times New Roman"/>
      <w:kern w:val="2"/>
      <w:szCs w:val="24"/>
    </w:rPr>
  </w:style>
  <w:style w:type="paragraph" w:styleId="5">
    <w:name w:val="Body Text Indent 2"/>
    <w:basedOn w:val="1"/>
    <w:semiHidden/>
    <w:unhideWhenUsed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link w:val="16"/>
    <w:autoRedefine/>
    <w:semiHidden/>
    <w:unhideWhenUsed/>
    <w:qFormat/>
    <w:uiPriority w:val="99"/>
    <w:pPr>
      <w:spacing w:after="0" w:line="240" w:lineRule="auto"/>
    </w:pPr>
    <w:rPr>
      <w:sz w:val="18"/>
      <w:szCs w:val="18"/>
    </w:rPr>
  </w:style>
  <w:style w:type="paragraph" w:styleId="7">
    <w:name w:val="footer"/>
    <w:basedOn w:val="1"/>
    <w:link w:val="19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8">
    <w:name w:val="header"/>
    <w:basedOn w:val="1"/>
    <w:link w:val="18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9">
    <w:name w:val="annotation subject"/>
    <w:basedOn w:val="4"/>
    <w:next w:val="4"/>
    <w:link w:val="17"/>
    <w:autoRedefine/>
    <w:semiHidden/>
    <w:unhideWhenUsed/>
    <w:qFormat/>
    <w:uiPriority w:val="99"/>
    <w:pPr>
      <w:widowControl/>
      <w:spacing w:after="120" w:line="264" w:lineRule="auto"/>
    </w:pPr>
    <w:rPr>
      <w:rFonts w:asciiTheme="minorHAnsi" w:hAnsiTheme="minorHAnsi" w:eastAsiaTheme="minorEastAsia" w:cstheme="minorBidi"/>
      <w:b/>
      <w:bCs/>
      <w:kern w:val="0"/>
      <w:szCs w:val="21"/>
    </w:rPr>
  </w:style>
  <w:style w:type="table" w:styleId="11">
    <w:name w:val="Table Grid"/>
    <w:basedOn w:val="10"/>
    <w:autoRedefine/>
    <w:qFormat/>
    <w:uiPriority w:val="39"/>
    <w:rPr>
      <w:kern w:val="0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qFormat/>
    <w:uiPriority w:val="0"/>
    <w:rPr>
      <w:sz w:val="21"/>
      <w:szCs w:val="21"/>
    </w:rPr>
  </w:style>
  <w:style w:type="paragraph" w:styleId="14">
    <w:name w:val="List Paragraph"/>
    <w:basedOn w:val="1"/>
    <w:autoRedefine/>
    <w:qFormat/>
    <w:uiPriority w:val="34"/>
    <w:pPr>
      <w:spacing w:after="0" w:line="240" w:lineRule="auto"/>
      <w:ind w:firstLine="420" w:firstLineChars="200"/>
    </w:pPr>
    <w:rPr>
      <w:rFonts w:ascii="宋体" w:hAnsi="宋体" w:eastAsia="宋体" w:cs="宋体"/>
      <w:sz w:val="24"/>
      <w:szCs w:val="24"/>
    </w:rPr>
  </w:style>
  <w:style w:type="character" w:customStyle="1" w:styleId="15">
    <w:name w:val="批注文字 字符"/>
    <w:basedOn w:val="12"/>
    <w:link w:val="4"/>
    <w:autoRedefine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字符"/>
    <w:basedOn w:val="12"/>
    <w:link w:val="6"/>
    <w:autoRedefine/>
    <w:semiHidden/>
    <w:qFormat/>
    <w:uiPriority w:val="99"/>
    <w:rPr>
      <w:kern w:val="0"/>
      <w:sz w:val="18"/>
      <w:szCs w:val="18"/>
    </w:rPr>
  </w:style>
  <w:style w:type="character" w:customStyle="1" w:styleId="17">
    <w:name w:val="批注主题 字符"/>
    <w:basedOn w:val="15"/>
    <w:link w:val="9"/>
    <w:autoRedefine/>
    <w:semiHidden/>
    <w:qFormat/>
    <w:uiPriority w:val="99"/>
    <w:rPr>
      <w:rFonts w:ascii="Times New Roman" w:hAnsi="Times New Roman" w:eastAsia="宋体" w:cs="Times New Roman"/>
      <w:b/>
      <w:bCs/>
      <w:kern w:val="0"/>
      <w:szCs w:val="21"/>
    </w:rPr>
  </w:style>
  <w:style w:type="character" w:customStyle="1" w:styleId="18">
    <w:name w:val="页眉 字符"/>
    <w:basedOn w:val="12"/>
    <w:link w:val="8"/>
    <w:autoRedefine/>
    <w:semiHidden/>
    <w:qFormat/>
    <w:uiPriority w:val="99"/>
    <w:rPr>
      <w:kern w:val="0"/>
      <w:sz w:val="18"/>
      <w:szCs w:val="18"/>
    </w:rPr>
  </w:style>
  <w:style w:type="character" w:customStyle="1" w:styleId="19">
    <w:name w:val="页脚 字符"/>
    <w:basedOn w:val="12"/>
    <w:link w:val="7"/>
    <w:autoRedefine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1131</Words>
  <Characters>1274</Characters>
  <Lines>9</Lines>
  <Paragraphs>2</Paragraphs>
  <TotalTime>1</TotalTime>
  <ScaleCrop>false</ScaleCrop>
  <LinksUpToDate>false</LinksUpToDate>
  <CharactersWithSpaces>1276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2019-02-16T09:10:00Z</dcterms:created>
  <dc:creator>mindray</dc:creator>
  <cp:lastModifiedBy>Administrator</cp:lastModifiedBy>
  <dcterms:modified xsi:type="dcterms:W3CDTF">2024-09-02T07:39:49Z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4CA79EF7B29646C68FD3A43E718C7138_13</vt:lpwstr>
  </property>
</Properties>
</file>