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泸州市中医医院</w:t>
      </w:r>
      <w:r>
        <w:rPr>
          <w:rFonts w:hint="eastAsia" w:ascii="宋体" w:hAnsi="宋体" w:eastAsia="宋体" w:cs="宋体"/>
          <w:b/>
          <w:bCs/>
          <w:sz w:val="28"/>
          <w:szCs w:val="28"/>
          <w:lang w:val="en-US" w:eastAsia="zh-CN"/>
        </w:rPr>
        <w:t>两院区高低压供电设备维保服务项目</w:t>
      </w:r>
    </w:p>
    <w:p>
      <w:pPr>
        <w:autoSpaceDE w:val="0"/>
        <w:autoSpaceDN w:val="0"/>
        <w:adjustRightInd w:val="0"/>
        <w:spacing w:line="560" w:lineRule="exact"/>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市场调研相关资料</w:t>
      </w:r>
    </w:p>
    <w:p>
      <w:pPr>
        <w:spacing w:line="460" w:lineRule="exact"/>
        <w:rPr>
          <w:rFonts w:hint="eastAsia" w:ascii="宋体" w:hAnsi="宋体" w:eastAsia="宋体" w:cs="宋体"/>
          <w:bCs/>
          <w:sz w:val="28"/>
          <w:szCs w:val="28"/>
          <w:highlight w:val="none"/>
          <w:lang w:val="en-US" w:eastAsia="zh-CN"/>
        </w:rPr>
      </w:pPr>
    </w:p>
    <w:p>
      <w:pPr>
        <w:spacing w:line="240" w:lineRule="auto"/>
        <w:rPr>
          <w:rFonts w:hint="eastAsia" w:ascii="宋体" w:hAnsi="宋体" w:eastAsia="宋体" w:cs="宋体"/>
          <w:b/>
          <w:bCs w:val="0"/>
          <w:sz w:val="28"/>
          <w:szCs w:val="28"/>
          <w:highlight w:val="none"/>
          <w:lang w:val="en-US" w:eastAsia="zh-CN"/>
        </w:rPr>
      </w:pPr>
      <w:r>
        <w:rPr>
          <w:rFonts w:hint="eastAsia" w:ascii="宋体" w:hAnsi="宋体" w:eastAsia="宋体" w:cs="宋体"/>
          <w:b/>
          <w:bCs w:val="0"/>
          <w:sz w:val="28"/>
          <w:szCs w:val="28"/>
          <w:highlight w:val="none"/>
          <w:lang w:val="en-US" w:eastAsia="zh-CN"/>
        </w:rPr>
        <w:t>一、采购项目基本情况</w:t>
      </w:r>
    </w:p>
    <w:p>
      <w:pPr>
        <w:autoSpaceDE w:val="0"/>
        <w:autoSpaceDN w:val="0"/>
        <w:adjustRightInd w:val="0"/>
        <w:spacing w:line="240" w:lineRule="auto"/>
        <w:jc w:val="both"/>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1.项目名称：泸州市中医医院两院区高低压供电设备维保服务项目</w:t>
      </w:r>
    </w:p>
    <w:p>
      <w:pPr>
        <w:spacing w:line="240" w:lineRule="auto"/>
        <w:rPr>
          <w:rFonts w:hint="eastAsia" w:ascii="宋体" w:hAnsi="宋体" w:eastAsia="宋体" w:cs="宋体"/>
          <w:bCs/>
          <w:color w:val="auto"/>
          <w:sz w:val="28"/>
          <w:szCs w:val="28"/>
          <w:highlight w:val="none"/>
          <w:lang w:val="en-US" w:eastAsia="zh-CN"/>
        </w:rPr>
      </w:pPr>
      <w:r>
        <w:rPr>
          <w:rFonts w:hint="eastAsia" w:ascii="宋体" w:hAnsi="宋体" w:eastAsia="宋体" w:cs="宋体"/>
          <w:bCs/>
          <w:sz w:val="28"/>
          <w:szCs w:val="28"/>
          <w:highlight w:val="none"/>
          <w:lang w:val="en-US" w:eastAsia="zh-CN"/>
        </w:rPr>
        <w:t>2.项目地址：泸州市中医医院城南院区（泸州市纳溪区杏林路80号）；泸州市中</w:t>
      </w:r>
      <w:r>
        <w:rPr>
          <w:rFonts w:hint="eastAsia" w:ascii="宋体" w:hAnsi="宋体" w:eastAsia="宋体" w:cs="宋体"/>
          <w:bCs/>
          <w:color w:val="auto"/>
          <w:sz w:val="28"/>
          <w:szCs w:val="28"/>
          <w:highlight w:val="none"/>
          <w:lang w:val="en-US" w:eastAsia="zh-CN"/>
        </w:rPr>
        <w:t xml:space="preserve">医医院大山坪院区（泸州市江阳区江阳南路11号）。 </w:t>
      </w:r>
    </w:p>
    <w:p>
      <w:pPr>
        <w:spacing w:line="240" w:lineRule="auto"/>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3.项目所属分类：☑服务 □货物 □工程</w:t>
      </w:r>
    </w:p>
    <w:p>
      <w:pPr>
        <w:spacing w:line="240" w:lineRule="auto"/>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4.拟定预算金额及服务期限：预算金额400000元，合同签订生效之日起1年。</w:t>
      </w:r>
    </w:p>
    <w:p>
      <w:pPr>
        <w:spacing w:line="240" w:lineRule="auto"/>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5.预计实施采购月份：2024年5月</w:t>
      </w:r>
    </w:p>
    <w:p>
      <w:pPr>
        <w:spacing w:line="240" w:lineRule="auto"/>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6.联系人：后勤保障部 贾如志 139824898</w:t>
      </w:r>
    </w:p>
    <w:p>
      <w:pPr>
        <w:spacing w:line="240" w:lineRule="auto"/>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en-US" w:eastAsia="zh-CN"/>
        </w:rPr>
        <w:t>二、采购项目简介：</w:t>
      </w:r>
    </w:p>
    <w:p>
      <w:pPr>
        <w:spacing w:line="240" w:lineRule="auto"/>
        <w:ind w:firstLine="560" w:firstLineChars="200"/>
        <w:rPr>
          <w:rFonts w:hint="eastAsia" w:ascii="宋体" w:hAnsi="宋体" w:eastAsia="宋体" w:cs="宋体"/>
          <w:bCs/>
          <w:color w:val="auto"/>
          <w:sz w:val="28"/>
          <w:szCs w:val="28"/>
          <w:lang w:val="en-US"/>
        </w:rPr>
      </w:pPr>
      <w:r>
        <w:rPr>
          <w:rFonts w:hint="eastAsia" w:ascii="宋体" w:hAnsi="宋体" w:eastAsia="宋体" w:cs="宋体"/>
          <w:bCs/>
          <w:color w:val="auto"/>
          <w:sz w:val="28"/>
          <w:szCs w:val="28"/>
          <w:highlight w:val="none"/>
          <w:lang w:val="en-US" w:eastAsia="zh-CN"/>
        </w:rPr>
        <w:t>泸州市中医医院拟采购合格供应商一名，完成</w:t>
      </w:r>
      <w:r>
        <w:rPr>
          <w:rFonts w:hint="eastAsia" w:ascii="宋体" w:hAnsi="宋体" w:eastAsia="宋体" w:cs="宋体"/>
          <w:color w:val="auto"/>
          <w:sz w:val="28"/>
          <w:szCs w:val="28"/>
        </w:rPr>
        <w:t>泸州市中医医院</w:t>
      </w:r>
      <w:r>
        <w:rPr>
          <w:rFonts w:hint="eastAsia" w:ascii="宋体" w:hAnsi="宋体" w:eastAsia="宋体" w:cs="宋体"/>
          <w:bCs/>
          <w:color w:val="auto"/>
          <w:sz w:val="28"/>
          <w:szCs w:val="28"/>
        </w:rPr>
        <w:t>两院区</w:t>
      </w:r>
      <w:r>
        <w:rPr>
          <w:rFonts w:hint="eastAsia" w:ascii="宋体" w:hAnsi="宋体" w:eastAsia="宋体" w:cs="宋体"/>
          <w:bCs/>
          <w:color w:val="auto"/>
          <w:sz w:val="28"/>
          <w:szCs w:val="28"/>
          <w:lang w:val="en-US" w:eastAsia="zh-CN"/>
        </w:rPr>
        <w:t>高低压</w:t>
      </w:r>
      <w:r>
        <w:rPr>
          <w:rFonts w:hint="eastAsia" w:ascii="宋体" w:hAnsi="宋体" w:eastAsia="宋体" w:cs="宋体"/>
          <w:bCs/>
          <w:color w:val="auto"/>
          <w:sz w:val="28"/>
          <w:szCs w:val="28"/>
        </w:rPr>
        <w:t>供电设备维保服务</w:t>
      </w:r>
      <w:r>
        <w:rPr>
          <w:rFonts w:hint="eastAsia" w:ascii="宋体" w:hAnsi="宋体" w:eastAsia="宋体" w:cs="宋体"/>
          <w:bCs/>
          <w:color w:val="auto"/>
          <w:sz w:val="28"/>
          <w:szCs w:val="28"/>
          <w:lang w:val="en-US" w:eastAsia="zh-CN"/>
        </w:rPr>
        <w:t>项目。</w:t>
      </w:r>
      <w:r>
        <w:rPr>
          <w:rFonts w:hint="eastAsia" w:ascii="宋体" w:hAnsi="宋体" w:eastAsia="宋体" w:cs="宋体"/>
          <w:color w:val="auto"/>
          <w:spacing w:val="-2"/>
          <w:sz w:val="28"/>
          <w:szCs w:val="28"/>
        </w:rPr>
        <w:t>包括两院区产权内</w:t>
      </w:r>
      <w:r>
        <w:rPr>
          <w:rFonts w:hint="eastAsia" w:ascii="宋体" w:hAnsi="宋体" w:eastAsia="宋体" w:cs="宋体"/>
          <w:color w:val="auto"/>
          <w:sz w:val="28"/>
          <w:szCs w:val="28"/>
        </w:rPr>
        <w:t>10KV</w:t>
      </w:r>
      <w:r>
        <w:rPr>
          <w:rFonts w:hint="eastAsia" w:ascii="宋体" w:hAnsi="宋体" w:eastAsia="宋体" w:cs="宋体"/>
          <w:color w:val="auto"/>
          <w:spacing w:val="-2"/>
          <w:sz w:val="28"/>
          <w:szCs w:val="28"/>
        </w:rPr>
        <w:t>高压电力电缆进线端起</w:t>
      </w:r>
      <w:r>
        <w:rPr>
          <w:rFonts w:hint="eastAsia" w:ascii="宋体" w:hAnsi="宋体" w:eastAsia="宋体" w:cs="宋体"/>
          <w:color w:val="auto"/>
          <w:sz w:val="28"/>
          <w:szCs w:val="28"/>
        </w:rPr>
        <w:t>到医院配电房成套低压柜输出空开止。含产权范围内</w:t>
      </w:r>
      <w:r>
        <w:rPr>
          <w:rFonts w:hint="eastAsia" w:ascii="宋体" w:hAnsi="宋体" w:eastAsia="宋体" w:cs="宋体"/>
          <w:color w:val="auto"/>
          <w:kern w:val="0"/>
          <w:sz w:val="28"/>
          <w:szCs w:val="28"/>
        </w:rPr>
        <w:t>已建成投用</w:t>
      </w:r>
      <w:r>
        <w:rPr>
          <w:rFonts w:hint="eastAsia" w:ascii="宋体" w:hAnsi="宋体" w:eastAsia="宋体" w:cs="宋体"/>
          <w:color w:val="auto"/>
          <w:sz w:val="28"/>
          <w:szCs w:val="28"/>
        </w:rPr>
        <w:t>10KV环网柜、分支箱、</w:t>
      </w:r>
      <w:r>
        <w:rPr>
          <w:rFonts w:hint="eastAsia" w:ascii="宋体" w:hAnsi="宋体" w:eastAsia="宋体" w:cs="宋体"/>
          <w:color w:val="auto"/>
          <w:kern w:val="0"/>
          <w:sz w:val="28"/>
          <w:szCs w:val="28"/>
        </w:rPr>
        <w:t>变压器、配电房</w:t>
      </w:r>
      <w:r>
        <w:rPr>
          <w:rFonts w:hint="eastAsia" w:ascii="宋体" w:hAnsi="宋体" w:eastAsia="宋体" w:cs="宋体"/>
          <w:color w:val="auto"/>
          <w:sz w:val="28"/>
          <w:szCs w:val="28"/>
        </w:rPr>
        <w:t>成套高低压柜、发电机组、EPS/UPS备用电源、</w:t>
      </w:r>
      <w:r>
        <w:rPr>
          <w:rFonts w:hint="eastAsia" w:ascii="宋体" w:hAnsi="宋体" w:eastAsia="宋体" w:cs="宋体"/>
          <w:color w:val="auto"/>
          <w:spacing w:val="4"/>
          <w:sz w:val="28"/>
          <w:szCs w:val="28"/>
        </w:rPr>
        <w:t>二次设备及控制</w:t>
      </w:r>
      <w:r>
        <w:rPr>
          <w:rFonts w:hint="eastAsia" w:ascii="宋体" w:hAnsi="宋体" w:eastAsia="宋体" w:cs="宋体"/>
          <w:color w:val="auto"/>
          <w:sz w:val="28"/>
          <w:szCs w:val="28"/>
        </w:rPr>
        <w:t>回路、直流系统与电缆</w:t>
      </w:r>
      <w:r>
        <w:rPr>
          <w:rFonts w:hint="eastAsia" w:ascii="宋体" w:hAnsi="宋体" w:eastAsia="宋体" w:cs="宋体"/>
          <w:color w:val="auto"/>
          <w:kern w:val="0"/>
          <w:sz w:val="28"/>
          <w:szCs w:val="28"/>
        </w:rPr>
        <w:t>等高</w:t>
      </w:r>
      <w:r>
        <w:rPr>
          <w:rFonts w:hint="eastAsia" w:ascii="宋体" w:hAnsi="宋体" w:eastAsia="宋体" w:cs="宋体"/>
          <w:color w:val="auto"/>
          <w:sz w:val="28"/>
          <w:szCs w:val="28"/>
        </w:rPr>
        <w:t>低</w:t>
      </w:r>
      <w:r>
        <w:rPr>
          <w:rFonts w:hint="eastAsia" w:ascii="宋体" w:hAnsi="宋体" w:eastAsia="宋体" w:cs="宋体"/>
          <w:color w:val="auto"/>
          <w:kern w:val="0"/>
          <w:sz w:val="28"/>
          <w:szCs w:val="28"/>
        </w:rPr>
        <w:t>压</w:t>
      </w:r>
      <w:r>
        <w:rPr>
          <w:rFonts w:hint="eastAsia" w:ascii="宋体" w:hAnsi="宋体" w:eastAsia="宋体" w:cs="宋体"/>
          <w:color w:val="auto"/>
          <w:spacing w:val="4"/>
          <w:sz w:val="28"/>
          <w:szCs w:val="28"/>
        </w:rPr>
        <w:t>设施设备的定期运行巡视、检查维护、</w:t>
      </w:r>
      <w:r>
        <w:rPr>
          <w:rFonts w:hint="eastAsia" w:ascii="宋体" w:hAnsi="宋体" w:eastAsia="宋体" w:cs="宋体"/>
          <w:color w:val="auto"/>
          <w:sz w:val="28"/>
          <w:szCs w:val="28"/>
        </w:rPr>
        <w:t>维修排障的所有内容</w:t>
      </w:r>
      <w:r>
        <w:rPr>
          <w:rFonts w:hint="eastAsia" w:ascii="宋体" w:hAnsi="宋体" w:eastAsia="宋体" w:cs="宋体"/>
          <w:color w:val="auto"/>
          <w:spacing w:val="4"/>
          <w:sz w:val="28"/>
          <w:szCs w:val="28"/>
        </w:rPr>
        <w:t>。</w:t>
      </w:r>
      <w:r>
        <w:rPr>
          <w:rFonts w:hint="eastAsia" w:ascii="宋体" w:hAnsi="宋体" w:eastAsia="宋体" w:cs="宋体"/>
          <w:color w:val="auto"/>
          <w:sz w:val="28"/>
          <w:szCs w:val="28"/>
        </w:rPr>
        <w:t>（以上内容包含应急抢修）。</w:t>
      </w:r>
    </w:p>
    <w:p>
      <w:pPr>
        <w:spacing w:line="240" w:lineRule="auto"/>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en-US" w:eastAsia="zh-CN"/>
        </w:rPr>
        <w:t>三、供应商应具备的资格条件：</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1.具有独立承担民事责任的能力；</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2.具有良好的商业信誉和健全的财务会计制度；</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3.具有依法缴纳税收和社会保障资金的良好记录；</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4.参加本次采购活动前三年内，在经营活动中没有重大违法记录；</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5.法律、行政法规规定的其他条件；</w:t>
      </w:r>
    </w:p>
    <w:p>
      <w:pPr>
        <w:spacing w:line="240" w:lineRule="auto"/>
        <w:ind w:firstLine="560" w:firstLineChars="200"/>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6.本项目不接受联合体。</w:t>
      </w:r>
    </w:p>
    <w:p>
      <w:pPr>
        <w:spacing w:line="240" w:lineRule="auto"/>
        <w:ind w:firstLine="560" w:firstLineChars="200"/>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7.特殊资格要求：供应商</w:t>
      </w:r>
      <w:r>
        <w:rPr>
          <w:rFonts w:hint="eastAsia" w:ascii="宋体" w:hAnsi="宋体" w:eastAsia="宋体" w:cs="宋体"/>
          <w:b w:val="0"/>
          <w:bCs/>
          <w:color w:val="auto"/>
          <w:sz w:val="28"/>
          <w:szCs w:val="28"/>
          <w:highlight w:val="none"/>
          <w:lang w:val="en-US" w:eastAsia="zh-CN"/>
        </w:rPr>
        <w:t>具有国家行政主管部门颁发的有效期内的《承装（修、试）电力设施许可证》（许可类别和等级：承装类、承修类、承试类均为四级及以上）。</w:t>
      </w:r>
    </w:p>
    <w:p>
      <w:pPr>
        <w:spacing w:line="240" w:lineRule="auto"/>
        <w:ind w:firstLine="560"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供应商具备建设行政主管部门颁发的有效的安全生产许可证，企业负责人、拟担任该项目负责人和专职安全生产管理人员（即“三类人员”）具备相应建设行政主管部门颁发的安全生产考核合格证书。</w:t>
      </w:r>
    </w:p>
    <w:p>
      <w:pPr>
        <w:spacing w:line="240" w:lineRule="auto"/>
        <w:ind w:firstLine="562" w:firstLineChars="200"/>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en-US" w:eastAsia="zh-CN"/>
        </w:rPr>
        <w:t>四、项目技术、服务要求及执行标准</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1.采购内容清单详见附件1</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2.</w:t>
      </w:r>
      <w:r>
        <w:rPr>
          <w:rFonts w:hint="eastAsia" w:ascii="宋体" w:hAnsi="宋体" w:eastAsia="宋体" w:cs="宋体"/>
          <w:bCs/>
          <w:color w:val="auto"/>
          <w:sz w:val="28"/>
          <w:szCs w:val="28"/>
        </w:rPr>
        <w:t>维保服务</w:t>
      </w:r>
      <w:r>
        <w:rPr>
          <w:rFonts w:hint="eastAsia" w:ascii="宋体" w:hAnsi="宋体" w:eastAsia="宋体" w:cs="宋体"/>
          <w:bCs/>
          <w:color w:val="auto"/>
          <w:sz w:val="28"/>
          <w:szCs w:val="28"/>
          <w:highlight w:val="none"/>
          <w:lang w:val="en-US" w:eastAsia="zh-CN"/>
        </w:rPr>
        <w:t>周期详见附件2</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3.考核标准详见附件4</w:t>
      </w:r>
    </w:p>
    <w:p>
      <w:pPr>
        <w:spacing w:line="240" w:lineRule="auto"/>
        <w:ind w:firstLine="560" w:firstLineChars="20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4.项目服务耗材（</w:t>
      </w:r>
      <w:r>
        <w:rPr>
          <w:rFonts w:hint="eastAsia" w:ascii="宋体" w:hAnsi="宋体" w:eastAsia="宋体" w:cs="宋体"/>
          <w:color w:val="auto"/>
          <w:sz w:val="28"/>
          <w:szCs w:val="28"/>
        </w:rPr>
        <w:t>易损配件</w:t>
      </w:r>
      <w:r>
        <w:rPr>
          <w:rFonts w:hint="eastAsia" w:ascii="宋体" w:hAnsi="宋体" w:eastAsia="宋体" w:cs="宋体"/>
          <w:color w:val="auto"/>
          <w:sz w:val="28"/>
          <w:szCs w:val="28"/>
          <w:lang w:val="en-US" w:eastAsia="zh-CN"/>
        </w:rPr>
        <w:t>参考</w:t>
      </w:r>
      <w:r>
        <w:rPr>
          <w:rFonts w:hint="eastAsia" w:ascii="宋体" w:hAnsi="宋体" w:eastAsia="宋体" w:cs="宋体"/>
          <w:color w:val="auto"/>
          <w:sz w:val="28"/>
          <w:szCs w:val="28"/>
          <w:lang w:eastAsia="zh-CN"/>
        </w:rPr>
        <w:t>）</w:t>
      </w:r>
      <w:r>
        <w:rPr>
          <w:rFonts w:hint="eastAsia" w:ascii="宋体" w:hAnsi="宋体" w:eastAsia="宋体" w:cs="宋体"/>
          <w:bCs/>
          <w:color w:val="auto"/>
          <w:sz w:val="28"/>
          <w:szCs w:val="28"/>
          <w:highlight w:val="none"/>
          <w:lang w:val="en-US" w:eastAsia="zh-CN"/>
        </w:rPr>
        <w:t>详见附件3</w:t>
      </w:r>
    </w:p>
    <w:p>
      <w:pPr>
        <w:spacing w:line="240" w:lineRule="auto"/>
        <w:ind w:firstLine="562" w:firstLineChars="200"/>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en-US" w:eastAsia="zh-CN"/>
        </w:rPr>
        <w:t>（一）基本要求</w:t>
      </w:r>
    </w:p>
    <w:p>
      <w:pPr>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bCs/>
          <w:color w:val="auto"/>
          <w:sz w:val="28"/>
          <w:szCs w:val="28"/>
        </w:rPr>
        <w:t>1.</w:t>
      </w:r>
      <w:r>
        <w:rPr>
          <w:rFonts w:hint="eastAsia" w:ascii="宋体" w:hAnsi="宋体" w:eastAsia="宋体" w:cs="宋体"/>
          <w:color w:val="auto"/>
          <w:spacing w:val="4"/>
          <w:sz w:val="28"/>
          <w:szCs w:val="28"/>
        </w:rPr>
        <w:t>供应商必须具有协助或代表中医医院与电力相关主管单位</w:t>
      </w:r>
      <w:r>
        <w:rPr>
          <w:rFonts w:hint="eastAsia" w:ascii="宋体" w:hAnsi="宋体" w:eastAsia="宋体" w:cs="宋体"/>
          <w:color w:val="auto"/>
          <w:sz w:val="28"/>
          <w:szCs w:val="28"/>
        </w:rPr>
        <w:t>进行突发事件的处理、解决、协调等方面能力。</w:t>
      </w:r>
    </w:p>
    <w:p>
      <w:pPr>
        <w:autoSpaceDE w:val="0"/>
        <w:autoSpaceDN w:val="0"/>
        <w:adjustRightInd w:val="0"/>
        <w:spacing w:line="240" w:lineRule="auto"/>
        <w:ind w:firstLine="560" w:firstLineChars="200"/>
        <w:jc w:val="left"/>
        <w:rPr>
          <w:rFonts w:hint="eastAsia" w:ascii="宋体" w:hAnsi="宋体" w:eastAsia="宋体" w:cs="宋体"/>
          <w:sz w:val="28"/>
          <w:szCs w:val="28"/>
        </w:rPr>
      </w:pPr>
      <w:r>
        <w:rPr>
          <w:rFonts w:hint="eastAsia" w:ascii="宋体" w:hAnsi="宋体" w:eastAsia="宋体" w:cs="宋体"/>
          <w:bCs/>
          <w:color w:val="auto"/>
          <w:sz w:val="28"/>
          <w:szCs w:val="28"/>
        </w:rPr>
        <w:t>2.</w:t>
      </w:r>
      <w:r>
        <w:rPr>
          <w:rFonts w:hint="eastAsia" w:ascii="宋体" w:hAnsi="宋体" w:eastAsia="宋体" w:cs="宋体"/>
          <w:color w:val="auto"/>
          <w:spacing w:val="4"/>
          <w:sz w:val="28"/>
          <w:szCs w:val="28"/>
        </w:rPr>
        <w:t>供应商认真履行</w:t>
      </w:r>
      <w:r>
        <w:rPr>
          <w:rFonts w:hint="eastAsia" w:ascii="宋体" w:hAnsi="宋体" w:eastAsia="宋体" w:cs="宋体"/>
          <w:color w:val="auto"/>
          <w:spacing w:val="4"/>
          <w:sz w:val="28"/>
          <w:szCs w:val="28"/>
          <w:lang w:val="en-US" w:eastAsia="zh-CN"/>
        </w:rPr>
        <w:t>维保</w:t>
      </w:r>
      <w:r>
        <w:rPr>
          <w:rFonts w:hint="eastAsia" w:ascii="宋体" w:hAnsi="宋体" w:eastAsia="宋体" w:cs="宋体"/>
          <w:color w:val="auto"/>
          <w:spacing w:val="4"/>
          <w:sz w:val="28"/>
          <w:szCs w:val="28"/>
        </w:rPr>
        <w:t>服务，严格按配电房、箱式变压器、电力</w:t>
      </w:r>
      <w:r>
        <w:rPr>
          <w:rFonts w:hint="eastAsia" w:ascii="宋体" w:hAnsi="宋体" w:eastAsia="宋体" w:cs="宋体"/>
          <w:color w:val="auto"/>
          <w:sz w:val="28"/>
          <w:szCs w:val="28"/>
        </w:rPr>
        <w:t>电缆线路、环网柜、10KV分支箱运行操作等管理规章制度做好定期设</w:t>
      </w:r>
      <w:r>
        <w:rPr>
          <w:rFonts w:hint="eastAsia" w:ascii="宋体" w:hAnsi="宋体" w:eastAsia="宋体" w:cs="宋体"/>
          <w:color w:val="auto"/>
          <w:spacing w:val="4"/>
          <w:sz w:val="28"/>
          <w:szCs w:val="28"/>
        </w:rPr>
        <w:t>备巡视检查、维护、消缺和清扫以及工作场所</w:t>
      </w:r>
      <w:r>
        <w:rPr>
          <w:rFonts w:hint="eastAsia" w:ascii="宋体" w:hAnsi="宋体" w:eastAsia="宋体" w:cs="宋体"/>
          <w:spacing w:val="4"/>
          <w:sz w:val="28"/>
          <w:szCs w:val="28"/>
        </w:rPr>
        <w:t>室内卫生，定期巡检时对合同管理范围内配电设施运行情况做好安全检修和巡查等数据记录。如遇突发事故，按规程及时处理，确保不发生重大电气设备损坏及涉</w:t>
      </w:r>
      <w:r>
        <w:rPr>
          <w:rFonts w:hint="eastAsia" w:ascii="宋体" w:hAnsi="宋体" w:eastAsia="宋体" w:cs="宋体"/>
          <w:sz w:val="28"/>
          <w:szCs w:val="28"/>
        </w:rPr>
        <w:t>及人身安全的事故。</w:t>
      </w:r>
    </w:p>
    <w:p>
      <w:pPr>
        <w:autoSpaceDE w:val="0"/>
        <w:autoSpaceDN w:val="0"/>
        <w:adjustRightInd w:val="0"/>
        <w:spacing w:line="240" w:lineRule="auto"/>
        <w:ind w:firstLine="560" w:firstLineChars="200"/>
        <w:jc w:val="left"/>
        <w:rPr>
          <w:rFonts w:hint="eastAsia" w:ascii="宋体" w:hAnsi="宋体" w:eastAsia="宋体" w:cs="宋体"/>
          <w:sz w:val="28"/>
          <w:szCs w:val="28"/>
        </w:rPr>
      </w:pPr>
      <w:r>
        <w:rPr>
          <w:rFonts w:hint="eastAsia" w:ascii="宋体" w:hAnsi="宋体" w:eastAsia="宋体" w:cs="宋体"/>
          <w:bCs/>
          <w:color w:val="000000"/>
          <w:sz w:val="28"/>
          <w:szCs w:val="28"/>
        </w:rPr>
        <w:t>3</w:t>
      </w:r>
      <w:r>
        <w:rPr>
          <w:rFonts w:hint="eastAsia" w:ascii="宋体" w:hAnsi="宋体" w:eastAsia="宋体" w:cs="宋体"/>
          <w:spacing w:val="2"/>
          <w:sz w:val="28"/>
          <w:szCs w:val="28"/>
        </w:rPr>
        <w:t>.</w:t>
      </w:r>
      <w:r>
        <w:rPr>
          <w:rFonts w:hint="eastAsia" w:ascii="宋体" w:hAnsi="宋体" w:eastAsia="宋体" w:cs="宋体"/>
          <w:spacing w:val="4"/>
          <w:sz w:val="28"/>
          <w:szCs w:val="28"/>
        </w:rPr>
        <w:t>供应商必须服从并积极配合采购人的日常管理。当达不到采购人要求及响应</w:t>
      </w:r>
      <w:r>
        <w:rPr>
          <w:rFonts w:hint="eastAsia" w:ascii="宋体" w:hAnsi="宋体" w:eastAsia="宋体" w:cs="宋体"/>
          <w:spacing w:val="4"/>
          <w:sz w:val="28"/>
          <w:szCs w:val="28"/>
          <w:lang w:eastAsia="zh-CN"/>
        </w:rPr>
        <w:t>的</w:t>
      </w:r>
      <w:r>
        <w:rPr>
          <w:rFonts w:hint="eastAsia" w:ascii="宋体" w:hAnsi="宋体" w:eastAsia="宋体" w:cs="宋体"/>
          <w:spacing w:val="4"/>
          <w:sz w:val="28"/>
          <w:szCs w:val="28"/>
        </w:rPr>
        <w:t>各项服务承诺，采购人有权要求其整改，拒不整改或</w:t>
      </w:r>
      <w:r>
        <w:rPr>
          <w:rFonts w:hint="eastAsia" w:ascii="宋体" w:hAnsi="宋体" w:eastAsia="宋体" w:cs="宋体"/>
          <w:sz w:val="28"/>
          <w:szCs w:val="28"/>
        </w:rPr>
        <w:t>多次整改</w:t>
      </w:r>
      <w:r>
        <w:rPr>
          <w:rFonts w:hint="eastAsia" w:ascii="宋体" w:hAnsi="宋体" w:eastAsia="宋体" w:cs="宋体"/>
          <w:sz w:val="28"/>
          <w:szCs w:val="28"/>
          <w:highlight w:val="none"/>
        </w:rPr>
        <w:t>（不超过两次）仍</w:t>
      </w:r>
      <w:r>
        <w:rPr>
          <w:rFonts w:hint="eastAsia" w:ascii="宋体" w:hAnsi="宋体" w:eastAsia="宋体" w:cs="宋体"/>
          <w:sz w:val="28"/>
          <w:szCs w:val="28"/>
        </w:rPr>
        <w:t>不合格将按照违约责任进行扣款或终止合同。</w:t>
      </w:r>
    </w:p>
    <w:p>
      <w:pPr>
        <w:autoSpaceDE w:val="0"/>
        <w:autoSpaceDN w:val="0"/>
        <w:adjustRightInd w:val="0"/>
        <w:spacing w:line="240" w:lineRule="auto"/>
        <w:ind w:firstLine="560" w:firstLineChars="200"/>
        <w:jc w:val="left"/>
        <w:rPr>
          <w:rFonts w:hint="eastAsia" w:ascii="宋体" w:hAnsi="宋体" w:eastAsia="宋体" w:cs="宋体"/>
          <w:sz w:val="28"/>
          <w:szCs w:val="28"/>
        </w:rPr>
      </w:pPr>
      <w:r>
        <w:rPr>
          <w:rFonts w:hint="eastAsia" w:ascii="宋体" w:hAnsi="宋体" w:eastAsia="宋体" w:cs="宋体"/>
          <w:bCs/>
          <w:color w:val="000000"/>
          <w:sz w:val="28"/>
          <w:szCs w:val="28"/>
        </w:rPr>
        <w:t>4.</w:t>
      </w:r>
      <w:r>
        <w:rPr>
          <w:rFonts w:hint="eastAsia" w:ascii="宋体" w:hAnsi="宋体" w:eastAsia="宋体" w:cs="宋体"/>
          <w:spacing w:val="-5"/>
          <w:sz w:val="28"/>
          <w:szCs w:val="28"/>
        </w:rPr>
        <w:t>运行维护内容满足《中华人民共和国电力法》、《电网调度管理</w:t>
      </w:r>
      <w:r>
        <w:rPr>
          <w:rFonts w:hint="eastAsia" w:ascii="宋体" w:hAnsi="宋体" w:eastAsia="宋体" w:cs="宋体"/>
          <w:spacing w:val="-11"/>
          <w:sz w:val="28"/>
          <w:szCs w:val="28"/>
        </w:rPr>
        <w:t>条例》、《电力监管条例》、《电网运行规则》等国家和电力行业有关安</w:t>
      </w:r>
      <w:r>
        <w:rPr>
          <w:rFonts w:hint="eastAsia" w:ascii="宋体" w:hAnsi="宋体" w:eastAsia="宋体" w:cs="宋体"/>
          <w:sz w:val="28"/>
          <w:szCs w:val="28"/>
        </w:rPr>
        <w:t>全作业规定的要求。</w:t>
      </w:r>
    </w:p>
    <w:p>
      <w:pPr>
        <w:autoSpaceDE w:val="0"/>
        <w:autoSpaceDN w:val="0"/>
        <w:adjustRightInd w:val="0"/>
        <w:spacing w:line="240" w:lineRule="auto"/>
        <w:ind w:firstLine="560" w:firstLineChars="200"/>
        <w:jc w:val="left"/>
        <w:rPr>
          <w:rFonts w:hint="eastAsia" w:ascii="宋体" w:hAnsi="宋体" w:eastAsia="宋体" w:cs="宋体"/>
          <w:color w:val="auto"/>
          <w:sz w:val="28"/>
          <w:szCs w:val="28"/>
          <w:shd w:val="clear" w:color="auto" w:fill="FFFFFF"/>
        </w:rPr>
      </w:pPr>
      <w:r>
        <w:rPr>
          <w:rFonts w:hint="eastAsia" w:ascii="宋体" w:hAnsi="宋体" w:eastAsia="宋体" w:cs="宋体"/>
          <w:bCs/>
          <w:sz w:val="28"/>
          <w:szCs w:val="28"/>
          <w:highlight w:val="none"/>
          <w:lang w:val="en-US" w:eastAsia="zh-CN"/>
        </w:rPr>
        <w:t>5.服务响应时间要求：接到采购人通知后，维修人员30分钟内到达现场。一般事故保证电力设备小修在1小时内、中修在4小时内、大修在24小时内修复正常，若确因无配件更换，需要外地采购时，常规零配</w:t>
      </w:r>
      <w:r>
        <w:rPr>
          <w:rFonts w:hint="eastAsia" w:ascii="宋体" w:hAnsi="宋体" w:eastAsia="宋体" w:cs="宋体"/>
          <w:bCs/>
          <w:color w:val="auto"/>
          <w:sz w:val="28"/>
          <w:szCs w:val="28"/>
          <w:highlight w:val="none"/>
          <w:lang w:val="en-US" w:eastAsia="zh-CN"/>
        </w:rPr>
        <w:t>件采购期不得超过24小时；进口零配件采购期不得超过一周。</w:t>
      </w:r>
    </w:p>
    <w:p>
      <w:pPr>
        <w:spacing w:line="240" w:lineRule="auto"/>
        <w:ind w:firstLine="560" w:firstLineChars="200"/>
        <w:rPr>
          <w:rFonts w:hint="eastAsia" w:ascii="宋体" w:hAnsi="宋体" w:eastAsia="宋体" w:cs="宋体"/>
          <w:iCs/>
          <w:sz w:val="28"/>
          <w:szCs w:val="28"/>
        </w:rPr>
      </w:pPr>
      <w:r>
        <w:rPr>
          <w:rFonts w:hint="eastAsia" w:ascii="宋体" w:hAnsi="宋体" w:eastAsia="宋体" w:cs="宋体"/>
          <w:bCs/>
          <w:color w:val="auto"/>
          <w:sz w:val="28"/>
          <w:szCs w:val="28"/>
          <w:lang w:val="en-US" w:eastAsia="zh-CN"/>
        </w:rPr>
        <w:t>6.</w:t>
      </w:r>
      <w:r>
        <w:rPr>
          <w:rFonts w:hint="eastAsia" w:ascii="宋体" w:hAnsi="宋体" w:eastAsia="宋体" w:cs="宋体"/>
          <w:bCs/>
          <w:color w:val="auto"/>
          <w:sz w:val="28"/>
          <w:szCs w:val="28"/>
          <w:highlight w:val="none"/>
          <w:lang w:val="en-US" w:eastAsia="zh-CN"/>
        </w:rPr>
        <w:t>项目服务耗材：</w:t>
      </w:r>
      <w:r>
        <w:rPr>
          <w:rFonts w:hint="eastAsia" w:ascii="宋体" w:hAnsi="宋体" w:eastAsia="宋体" w:cs="宋体"/>
          <w:color w:val="auto"/>
          <w:sz w:val="28"/>
          <w:szCs w:val="28"/>
        </w:rPr>
        <w:t>易损配件</w:t>
      </w:r>
      <w:r>
        <w:rPr>
          <w:rFonts w:hint="eastAsia" w:ascii="宋体" w:hAnsi="宋体" w:eastAsia="宋体" w:cs="宋体"/>
          <w:iCs/>
          <w:color w:val="auto"/>
          <w:sz w:val="28"/>
          <w:szCs w:val="28"/>
        </w:rPr>
        <w:t>单价200元</w:t>
      </w:r>
      <w:r>
        <w:rPr>
          <w:rFonts w:hint="eastAsia" w:ascii="宋体" w:hAnsi="宋体" w:eastAsia="宋体" w:cs="宋体"/>
          <w:iCs/>
          <w:color w:val="auto"/>
          <w:sz w:val="28"/>
          <w:szCs w:val="28"/>
          <w:lang w:val="en-US" w:eastAsia="zh-CN"/>
        </w:rPr>
        <w:t>及</w:t>
      </w:r>
      <w:r>
        <w:rPr>
          <w:rFonts w:hint="eastAsia" w:ascii="宋体" w:hAnsi="宋体" w:eastAsia="宋体" w:cs="宋体"/>
          <w:iCs/>
          <w:color w:val="auto"/>
          <w:sz w:val="28"/>
          <w:szCs w:val="28"/>
        </w:rPr>
        <w:t>以下的维修配件（参考</w:t>
      </w:r>
      <w:r>
        <w:rPr>
          <w:rFonts w:hint="eastAsia" w:ascii="宋体" w:hAnsi="宋体" w:eastAsia="宋体" w:cs="宋体"/>
          <w:color w:val="auto"/>
          <w:sz w:val="28"/>
          <w:szCs w:val="28"/>
        </w:rPr>
        <w:t>附件</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易损配件表见），</w:t>
      </w:r>
      <w:r>
        <w:rPr>
          <w:rFonts w:hint="eastAsia" w:ascii="宋体" w:hAnsi="宋体" w:eastAsia="宋体" w:cs="宋体"/>
          <w:iCs/>
          <w:color w:val="auto"/>
          <w:sz w:val="28"/>
          <w:szCs w:val="28"/>
        </w:rPr>
        <w:t>由中标供应商负责采购并承担相关费用。如出现清单外其他易损件需更换，单价200元及以</w:t>
      </w:r>
      <w:r>
        <w:rPr>
          <w:rFonts w:hint="eastAsia" w:ascii="宋体" w:hAnsi="宋体" w:eastAsia="宋体" w:cs="宋体"/>
          <w:iCs/>
          <w:sz w:val="28"/>
          <w:szCs w:val="28"/>
        </w:rPr>
        <w:t>下配件仍由中标供应商</w:t>
      </w:r>
      <w:r>
        <w:rPr>
          <w:rFonts w:hint="eastAsia" w:ascii="宋体" w:hAnsi="宋体" w:eastAsia="宋体" w:cs="宋体"/>
          <w:iCs/>
          <w:sz w:val="28"/>
          <w:szCs w:val="28"/>
          <w:lang w:val="en-US" w:eastAsia="zh-CN"/>
        </w:rPr>
        <w:t>负责采购及更换</w:t>
      </w:r>
      <w:r>
        <w:rPr>
          <w:rFonts w:hint="eastAsia" w:ascii="宋体" w:hAnsi="宋体" w:eastAsia="宋体" w:cs="宋体"/>
          <w:iCs/>
          <w:sz w:val="28"/>
          <w:szCs w:val="28"/>
        </w:rPr>
        <w:t>，所有维修配件严格执行同品牌、同型号替换，常规零件采购期不得超过24小时，进口零件采购期不得超过7天。单价200元以上维修配件，由医院后勤保障部按医院采购管理办法实施采购，供应商从院方申领。</w:t>
      </w:r>
    </w:p>
    <w:p>
      <w:pPr>
        <w:spacing w:line="240" w:lineRule="auto"/>
        <w:ind w:firstLine="560" w:firstLineChars="200"/>
        <w:rPr>
          <w:rFonts w:hint="eastAsia" w:ascii="宋体" w:hAnsi="宋体" w:eastAsia="宋体" w:cs="宋体"/>
          <w:iCs/>
          <w:sz w:val="28"/>
          <w:szCs w:val="28"/>
        </w:rPr>
      </w:pPr>
      <w:r>
        <w:rPr>
          <w:rFonts w:hint="eastAsia" w:ascii="宋体" w:hAnsi="宋体" w:eastAsia="宋体" w:cs="宋体"/>
          <w:iCs/>
          <w:sz w:val="28"/>
          <w:szCs w:val="28"/>
        </w:rPr>
        <w:t>易损配件表格以外</w:t>
      </w:r>
      <w:r>
        <w:rPr>
          <w:rFonts w:hint="eastAsia" w:ascii="宋体" w:hAnsi="宋体" w:eastAsia="宋体" w:cs="宋体"/>
          <w:iCs/>
          <w:sz w:val="28"/>
          <w:szCs w:val="28"/>
          <w:lang w:val="en-US" w:eastAsia="zh-CN"/>
        </w:rPr>
        <w:t>的</w:t>
      </w:r>
      <w:r>
        <w:rPr>
          <w:rFonts w:hint="eastAsia" w:ascii="宋体" w:hAnsi="宋体" w:eastAsia="宋体" w:cs="宋体"/>
          <w:iCs/>
          <w:sz w:val="28"/>
          <w:szCs w:val="28"/>
        </w:rPr>
        <w:t>维修配件以双方共同认质的市场询价为准。确定单价的原则:能独立使用具有相应的使用功能，常规最小采购量对应的采购单价。如发电机机油按一桶的价格进行核实，而非某次维修共用了多少斤来的合计费用，以此类推。特别约定:属于常规易损类的信号指示灯、熔断器不论单价多少，均由中标供应商承担。</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7.人员要求</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7.1项目负责人须具有3年以上从事高压电力设施维修、高压变电试验管理工作的经历，具有电力工程技术专业中级及以上技术职称。</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7.2巡查维保、试验作业人员需提供电气试验作业2人、继电保护作业2人、电力电缆作业2人，且均同时持有高压电工作业证。</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7.3以上人员均需提供在职证明，并承诺具备对我院电力设备应急抢修能力，服从采购人管理及调度。</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7.4人员职责</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7.4.1项目负责人负责巡查维保及试验方案制定并监督实施，使用的工器具、设备安全措施检查，巡查维保及试验结果的现场确认和原始记录审核，确保本项目安全、有序进行。本项目须设置一名专职安全监督员，且在施工期间驻场监督，对本项目实施过程中的安全问题负责。在本项目实施过程中，由于自身原因造成的人员及设备事故的责任和经济赔偿由施工方自负。</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7.4.2维保、试验作业人员实施过程中，均须双人双岗操作，至少保证一人监护一人操作的安全工作固定模式。严格按照电力修改规范作业；如实记录和反映电力设备存在或出现的问题。</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7.4.3实施本项目正常巡检时，每次派遣到场人员不低于2人，实施本项目检测时到场人员不低于10人，所有到场人员需提供相应专业操作证，发生特殊情况根据实际情况按业主要求执行。</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8.供应商应按照采购人要求提供合格项目负责人和运维人员实施本项目，否则，采购人将扣除相关费用。采购人每月</w:t>
      </w:r>
      <w:r>
        <w:rPr>
          <w:rFonts w:hint="eastAsia" w:ascii="宋体" w:hAnsi="宋体" w:eastAsia="宋体" w:cs="宋体"/>
          <w:bCs/>
          <w:sz w:val="28"/>
          <w:szCs w:val="28"/>
          <w:highlight w:val="none"/>
          <w:lang w:val="en-US" w:eastAsia="zh-CN"/>
        </w:rPr>
        <w:t>对供应商的服务情况进行一次考核，每月</w:t>
      </w:r>
      <w:r>
        <w:rPr>
          <w:rFonts w:hint="eastAsia" w:ascii="宋体" w:hAnsi="宋体" w:eastAsia="宋体" w:cs="宋体"/>
          <w:bCs/>
          <w:sz w:val="28"/>
          <w:szCs w:val="28"/>
          <w:highlight w:val="none"/>
          <w:lang w:val="en-US" w:eastAsia="zh-CN"/>
        </w:rPr>
        <w:t>考核评分低于90分，采购人有权要求供应商撤换运维人员和项目负责人，情节严重时终止合同。供应商维保考核连续两个月低于80分，或因供应商不负责任的维保而造成医院供电不能正常工作，采购人有权单方面解除合同并就医院造成的损失保留向供应商索赔的权利。</w:t>
      </w:r>
    </w:p>
    <w:p>
      <w:pPr>
        <w:spacing w:line="240" w:lineRule="auto"/>
        <w:ind w:firstLine="562" w:firstLineChars="200"/>
        <w:rPr>
          <w:rFonts w:hint="eastAsia" w:ascii="宋体" w:hAnsi="宋体" w:eastAsia="宋体" w:cs="宋体"/>
          <w:b/>
          <w:bCs w:val="0"/>
          <w:sz w:val="28"/>
          <w:szCs w:val="28"/>
          <w:highlight w:val="none"/>
          <w:lang w:val="en-US" w:eastAsia="zh-CN"/>
        </w:rPr>
      </w:pPr>
      <w:r>
        <w:rPr>
          <w:rFonts w:hint="eastAsia" w:ascii="宋体" w:hAnsi="宋体" w:eastAsia="宋体" w:cs="宋体"/>
          <w:b/>
          <w:bCs w:val="0"/>
          <w:sz w:val="28"/>
          <w:szCs w:val="28"/>
          <w:highlight w:val="none"/>
          <w:lang w:val="en-US" w:eastAsia="zh-CN"/>
        </w:rPr>
        <w:t>五、维保服务范围及要求</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（一）运维范围包括：两院区产权内10KV高压电力电缆进线端起到医院配电房成套低压柜输出空开止。</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含产权范围内已建成投用10KV环网柜、分支箱、变压器、配电房成套高低压柜、发电机组、EPS/UPS备用电源、二次设备及控制回路、直流系统与电缆等高低压设施设备的定期运行巡视、检查维护、维修排障的所有内容。（以上内容包含应急抢修，不包括配电房低压柜出线及下一级配电）。</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2.定期对变压器等高压设备进行年度预防性试验检测，按保养手册对发电机组、EPS/UPS备用电源进行维护保养（含材料费用）。</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3.参照电力行业相关运行规程和运行管理的标准，依据《供电设备维保服务内容清单》、《供电设施设备维保周期表》、《供电设备维保外包服务考核评分表》等相关条款执行维保项目，并完善各项记录。</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（二）运维管理要求</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所有实施内容须符合《高压电力用户用电安全》、《电力安全工作规程》、《电力变压器检修导则》、《电力设备预防性试验规程》、《医疗和疾控机构后勤安全生产工作管理指南关于变配电系统安全管理部分内容》、《四川省卫生计生行业安全生产标准化规范及考核细则》等最新版本相关规范要求。建立和执行规章制度。建立高压设备运行维保数据台帐资料。</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2.负责设备运行分析工作，对其整体状况及时做出分析评估，对重大缺陷向泸州市中医医院提出具体整改建议意见。加强设备缺陷管理，按设备缺陷的严重程度进行分类，做好记录，并及时进行消缺处理。</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3.负责定期对供电合同范围内一、二次设备及辅助设施等的巡视与检查、检修、验收、故障及异常情况应急抢修处理。提供相应的技术资源，人力资源，施工机具设备等。</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4.负责联系协调当地供电公司停电，根据医院保养计划，对10KV电缆线路、变压器、开关、避雷器等设备进行预检试验检测，进行主要设备全面保养及消缺评估，并完善检测记录等资料。</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5.供应商应参照有关电力行业标准和规程的基本要求，对受托资产进行日常维护工作。应开展对受托资产的巡视工作，以掌握电气设备的运行情况，及时发现有关缺陷和隐患情况；供应商在维保项目执行期间，如因人为操作不当或不负责任的维保而造成医院供电不能正常工作，医院有权单方面解除合同并就医院造成的损失保留向供应商索赔的权利；</w:t>
      </w:r>
    </w:p>
    <w:p>
      <w:pPr>
        <w:spacing w:line="240" w:lineRule="auto"/>
        <w:ind w:firstLine="560" w:firstLineChars="200"/>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6.维护保养内容满足国家和电力行业有关安全作业规定的要求，包括但不限于附件表1《电力设备维保服务内容清单》、附件表2《电力设备设施维保周期表》。</w:t>
      </w: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rPr>
      </w:pPr>
      <w:bookmarkStart w:id="0" w:name="_GoBack"/>
      <w:bookmarkEnd w:id="0"/>
    </w:p>
    <w:p>
      <w:pPr>
        <w:spacing w:line="24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附件1 </w:t>
      </w:r>
    </w:p>
    <w:tbl>
      <w:tblPr>
        <w:tblW w:w="90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43"/>
        <w:gridCol w:w="2252"/>
        <w:gridCol w:w="3382"/>
        <w:gridCol w:w="773"/>
        <w:gridCol w:w="760"/>
        <w:gridCol w:w="12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9" w:hRule="atLeast"/>
        </w:trPr>
        <w:tc>
          <w:tcPr>
            <w:tcW w:w="9015" w:type="dxa"/>
            <w:gridSpan w:val="6"/>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电力设备维保服务内容清单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序号</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项目特征描述</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计量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工程</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10KV电力电缆试验</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根</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高压柜整组试验</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组</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电力变压器试验</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9"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配电室接地系统试验</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检测接地电阻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1年2检并出具报告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系统</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直流、综保、信号、二次回路统试验</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系统</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低压列柜整组试验</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组</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86</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有源滤波柜检测</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电力后台监控系统检测</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系统</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EPS应急配电柜检测</w:t>
            </w:r>
          </w:p>
        </w:tc>
        <w:tc>
          <w:tcPr>
            <w:tcW w:w="3382"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检测电池组性能和充放电功能</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0"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UPS专用电源系统检测</w:t>
            </w:r>
          </w:p>
        </w:tc>
        <w:tc>
          <w:tcPr>
            <w:tcW w:w="3382"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检测UPS电池组性能和充放电能</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系统</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医院隔离配电柜检测</w:t>
            </w:r>
          </w:p>
        </w:tc>
        <w:tc>
          <w:tcPr>
            <w:tcW w:w="3382"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检测各类保护﹑控制﹑切换能</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1年1检并出具报告</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0"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柴油发电机测试和保养</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1年1检并出具年检及维保报告；维保含更换机油、冷冻液、过滤器材料</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2"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例行巡检</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巡检对象：重点核心部位的重要核心设备每月一次</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次</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80"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故障响应与故障处置</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提供故障处置与修复的技术资源，人力资源，施工机具设备资源；单价200元及以下的耗材，需供应商自行承担，质量均应是合格产品，品牌应符合采购人要求</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对单价200元以上的耗材，由院方另行采购。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9" w:hRule="atLeast"/>
        </w:trPr>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w:t>
            </w:r>
          </w:p>
        </w:tc>
        <w:tc>
          <w:tcPr>
            <w:tcW w:w="2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电力安全用品检测</w:t>
            </w:r>
          </w:p>
        </w:tc>
        <w:tc>
          <w:tcPr>
            <w:tcW w:w="33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每半年检测一次其安全可靠性</w:t>
            </w:r>
          </w:p>
        </w:tc>
        <w:tc>
          <w:tcPr>
            <w:tcW w:w="77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次</w:t>
            </w:r>
          </w:p>
        </w:tc>
        <w:tc>
          <w:tcPr>
            <w:tcW w:w="7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2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bl>
    <w:p>
      <w:pPr>
        <w:spacing w:line="240" w:lineRule="auto"/>
        <w:rPr>
          <w:rFonts w:hint="default" w:ascii="宋体" w:hAnsi="宋体" w:eastAsia="宋体" w:cs="宋体"/>
          <w:sz w:val="28"/>
          <w:szCs w:val="28"/>
          <w:lang w:val="en-US" w:eastAsia="zh-CN"/>
        </w:rPr>
      </w:pPr>
    </w:p>
    <w:p>
      <w:pPr>
        <w:spacing w:line="240" w:lineRule="auto"/>
        <w:rPr>
          <w:rFonts w:hint="eastAsia" w:ascii="宋体" w:hAnsi="宋体" w:eastAsia="宋体" w:cs="宋体"/>
          <w:sz w:val="28"/>
          <w:szCs w:val="28"/>
        </w:rPr>
      </w:pPr>
    </w:p>
    <w:p>
      <w:pPr>
        <w:spacing w:line="24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附件2</w:t>
      </w:r>
    </w:p>
    <w:tbl>
      <w:tblPr>
        <w:tblW w:w="92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26"/>
        <w:gridCol w:w="1089"/>
        <w:gridCol w:w="2771"/>
        <w:gridCol w:w="2639"/>
        <w:gridCol w:w="2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9255" w:type="dxa"/>
            <w:gridSpan w:val="5"/>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电力设施设备维保周期表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序号</w:t>
            </w:r>
          </w:p>
        </w:tc>
        <w:tc>
          <w:tcPr>
            <w:tcW w:w="1015"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类别</w:t>
            </w: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维保项目</w:t>
            </w:r>
          </w:p>
        </w:tc>
        <w:tc>
          <w:tcPr>
            <w:tcW w:w="263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设备维保执行周期</w:t>
            </w:r>
          </w:p>
        </w:tc>
        <w:tc>
          <w:tcPr>
            <w:tcW w:w="211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2"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08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类</w:t>
            </w: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例行巡视</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每月专人现场巡检一次</w:t>
            </w:r>
          </w:p>
        </w:tc>
        <w:tc>
          <w:tcPr>
            <w:tcW w:w="2112"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两院区，保存图片及文字记录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08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夜间高压巡视</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每月专人现场巡检一次</w:t>
            </w:r>
          </w:p>
        </w:tc>
        <w:tc>
          <w:tcPr>
            <w:tcW w:w="21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108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全面巡视</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每月专人现场巡检一次</w:t>
            </w:r>
          </w:p>
        </w:tc>
        <w:tc>
          <w:tcPr>
            <w:tcW w:w="21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108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特殊巡视</w:t>
            </w:r>
          </w:p>
        </w:tc>
        <w:tc>
          <w:tcPr>
            <w:tcW w:w="2639"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1、迎峰度冬、迎峰度夏特殊天气情况下；2、节假日保电前；3、中医医院安排保电时；4、新设备投运后；5、设备异常或过载时；</w:t>
            </w:r>
          </w:p>
        </w:tc>
        <w:tc>
          <w:tcPr>
            <w:tcW w:w="21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两院区，保存图片及文字记录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1089" w:type="dxa"/>
            <w:vMerge w:val="restart"/>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定期维护</w:t>
            </w: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单个蓄电池电压测试</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每季度一次</w:t>
            </w:r>
          </w:p>
        </w:tc>
        <w:tc>
          <w:tcPr>
            <w:tcW w:w="2112"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防小动物设施检查</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每季度一次</w:t>
            </w:r>
          </w:p>
        </w:tc>
        <w:tc>
          <w:tcPr>
            <w:tcW w:w="211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微机防误装置及附属设备维护检查</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每季度一次</w:t>
            </w:r>
          </w:p>
        </w:tc>
        <w:tc>
          <w:tcPr>
            <w:tcW w:w="211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接地螺栓及接地标志维护</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每季度一次</w:t>
            </w:r>
          </w:p>
        </w:tc>
        <w:tc>
          <w:tcPr>
            <w:tcW w:w="211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高压带电显示装置检查</w:t>
            </w:r>
          </w:p>
        </w:tc>
        <w:tc>
          <w:tcPr>
            <w:tcW w:w="2639" w:type="dxa"/>
            <w:tcBorders>
              <w:top w:val="single" w:color="000000" w:sz="4" w:space="0"/>
              <w:left w:val="single" w:color="000000" w:sz="4" w:space="0"/>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每月一次</w:t>
            </w:r>
          </w:p>
        </w:tc>
        <w:tc>
          <w:tcPr>
            <w:tcW w:w="2112"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排水、通风制冷设备检查</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每月一次</w:t>
            </w:r>
          </w:p>
        </w:tc>
        <w:tc>
          <w:tcPr>
            <w:tcW w:w="211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漏电保安器定期试验</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每月一次</w:t>
            </w:r>
          </w:p>
        </w:tc>
        <w:tc>
          <w:tcPr>
            <w:tcW w:w="211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二次设备清扫</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半年一次</w:t>
            </w:r>
          </w:p>
        </w:tc>
        <w:tc>
          <w:tcPr>
            <w:tcW w:w="2112" w:type="dxa"/>
            <w:tcBorders>
              <w:top w:val="nil"/>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机构箱、端子箱、开关柜加热器及照明维护检查</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每年一次</w:t>
            </w:r>
          </w:p>
        </w:tc>
        <w:tc>
          <w:tcPr>
            <w:tcW w:w="2112"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电缆沟及防火墙清扫维护</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每年一次</w:t>
            </w:r>
          </w:p>
        </w:tc>
        <w:tc>
          <w:tcPr>
            <w:tcW w:w="211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w:t>
            </w:r>
          </w:p>
        </w:tc>
        <w:tc>
          <w:tcPr>
            <w:tcW w:w="1089"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事故油池畅通检查</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每年一次</w:t>
            </w:r>
          </w:p>
        </w:tc>
        <w:tc>
          <w:tcPr>
            <w:tcW w:w="2112"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w:t>
            </w:r>
          </w:p>
        </w:tc>
        <w:tc>
          <w:tcPr>
            <w:tcW w:w="108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二次维护作业</w:t>
            </w:r>
          </w:p>
        </w:tc>
        <w:tc>
          <w:tcPr>
            <w:tcW w:w="2771" w:type="dxa"/>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微机保护装置四遥数据检查</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每年一次</w:t>
            </w:r>
          </w:p>
        </w:tc>
        <w:tc>
          <w:tcPr>
            <w:tcW w:w="211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w:t>
            </w:r>
          </w:p>
        </w:tc>
        <w:tc>
          <w:tcPr>
            <w:tcW w:w="108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压板和定值核对（与装置核对，与调度、主站核对编号）</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每年一次</w:t>
            </w:r>
          </w:p>
        </w:tc>
        <w:tc>
          <w:tcPr>
            <w:tcW w:w="211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w:t>
            </w:r>
          </w:p>
        </w:tc>
        <w:tc>
          <w:tcPr>
            <w:tcW w:w="1089" w:type="dxa"/>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专项工作</w:t>
            </w:r>
          </w:p>
        </w:tc>
        <w:tc>
          <w:tcPr>
            <w:tcW w:w="277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防潮、腐蚀专项检查</w:t>
            </w:r>
          </w:p>
        </w:tc>
        <w:tc>
          <w:tcPr>
            <w:tcW w:w="2639" w:type="dxa"/>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每月一次</w:t>
            </w:r>
          </w:p>
        </w:tc>
        <w:tc>
          <w:tcPr>
            <w:tcW w:w="2112" w:type="dxa"/>
            <w:tcBorders>
              <w:top w:val="single" w:color="000000" w:sz="4" w:space="0"/>
              <w:left w:val="single" w:color="000000" w:sz="4" w:space="0"/>
              <w:bottom w:val="nil"/>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两院区10KV高压电缆</w:t>
            </w:r>
          </w:p>
        </w:tc>
        <w:tc>
          <w:tcPr>
            <w:tcW w:w="5410"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根据运行情况，每季度全面对医院产权范围内10KV高压电缆进行巡检，重点电缆井及中间接头等。</w:t>
            </w:r>
          </w:p>
        </w:tc>
        <w:tc>
          <w:tcPr>
            <w:tcW w:w="21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出具评估报告，并完善巡检记录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2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两院区预防性试验检测</w:t>
            </w:r>
          </w:p>
        </w:tc>
        <w:tc>
          <w:tcPr>
            <w:tcW w:w="5410"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每年根据医院停电计划对变压器、避雷器、分支箱主设备、环网柜主设备进行一次预检试验，若不能开展预防性试验的实施设备，须每年进行一次全面保养及消缺评估，并完善记录资料</w:t>
            </w:r>
          </w:p>
        </w:tc>
        <w:tc>
          <w:tcPr>
            <w:tcW w:w="21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出具合格检测报告（检测不合格时，立即进行维修维护，至检测合格为止）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两院区UPS/EPS电源</w:t>
            </w:r>
          </w:p>
        </w:tc>
        <w:tc>
          <w:tcPr>
            <w:tcW w:w="5410"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根据医院停电计划，对两院区UPS/EPS电源进行检测，每年进行一次全面保养及消缺评估，并完善检测记录资料</w:t>
            </w:r>
          </w:p>
        </w:tc>
        <w:tc>
          <w:tcPr>
            <w:tcW w:w="21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出具评估报告，并完善巡检记录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两院区柴油发电机</w:t>
            </w:r>
          </w:p>
        </w:tc>
        <w:tc>
          <w:tcPr>
            <w:tcW w:w="5410" w:type="dxa"/>
            <w:gridSpan w:val="2"/>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根据运行情况，完成年度发电机组的测试和保养（含更换机油、冷冻液、过滤器材料）</w:t>
            </w:r>
          </w:p>
        </w:tc>
        <w:tc>
          <w:tcPr>
            <w:tcW w:w="21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出具评估报告，并完善保养记录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电力安全用品</w:t>
            </w:r>
          </w:p>
        </w:tc>
        <w:tc>
          <w:tcPr>
            <w:tcW w:w="541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每半年检测一次其安全可靠性</w:t>
            </w:r>
          </w:p>
        </w:tc>
        <w:tc>
          <w:tcPr>
            <w:tcW w:w="211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出具检测报告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技术支持</w:t>
            </w:r>
          </w:p>
        </w:tc>
        <w:tc>
          <w:tcPr>
            <w:tcW w:w="541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针对医院老旧电力设备更换、项目改建施工等，提供技术支持</w:t>
            </w:r>
          </w:p>
        </w:tc>
        <w:tc>
          <w:tcPr>
            <w:tcW w:w="211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草拟技术方案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79" w:hRule="atLeast"/>
        </w:trPr>
        <w:tc>
          <w:tcPr>
            <w:tcW w:w="62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w:t>
            </w:r>
          </w:p>
        </w:tc>
        <w:tc>
          <w:tcPr>
            <w:tcW w:w="64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注：1、乙方需提供检测资质。2、对维修更换单价200元及以内的耗材，需乙方自行承担（参考易损配件参考表），质量均应是合格产品，品牌应符合采购人要求。</w:t>
            </w:r>
          </w:p>
        </w:tc>
        <w:tc>
          <w:tcPr>
            <w:tcW w:w="21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对单价200元以上的耗材，由院方另行采购。</w:t>
            </w:r>
          </w:p>
        </w:tc>
      </w:tr>
    </w:tbl>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附件3</w:t>
      </w:r>
    </w:p>
    <w:tbl>
      <w:tblPr>
        <w:tblW w:w="79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24"/>
        <w:gridCol w:w="2838"/>
        <w:gridCol w:w="2985"/>
        <w:gridCol w:w="724"/>
        <w:gridCol w:w="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7995" w:type="dxa"/>
            <w:gridSpan w:val="5"/>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易损配件参考表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型号</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信号指示灯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红色/220V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信号指示灯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蓝色/220V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信号指示灯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红色/380V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信号指示灯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蓝色/380V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合/分按钮开关</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自复位带灯220V/380V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高压转换开关</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500V/16A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低压熔断器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500V/1A-600A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高压熔断器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500V/1A-600A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高压熔断器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10KV/0.5A-50KA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户外跌落式熔断器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10KV/200A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户外跌落式熔断器令克变压器保险丝</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10KV/3A-200A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户内高压真空断路梅花触头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35KV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三相数显电流表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380V/80*80</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高压电流表</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200/5-800/5</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高压电压表</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100V/3KV-140KV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氧化锌避雷器</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10KV/配电型一体式A级</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高压带电传感器</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12KV/CG5-10Q/95</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户内高压带电显示器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6-40KV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10KV冷缩电缆终端头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3芯户内外</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10KV热缩电缆终端头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3芯户内外</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智能温湿度控制器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220V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切换电容接触器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250V/25-115A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自愈式低压电容器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250V/0.1-5.6kvar</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自愈式低压电容器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0.4KV/16kvar</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微型断路器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220V/380V(10A-63A)</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低压氧化锌避雷器</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220V/380V（HW1.5W0.28/0.5）</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低压刀熔开关</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200-1000A/500V</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浪涌保护器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220V/2P</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浪涌保护器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380V/4P</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变压器油</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国标-10号/25号/45号</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斤</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变压器温度计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WTZ-288</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变压器温度传感器</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AC220V/380V-458通信功能</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中置柜绝缘触头盒</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10KV；CH3-10Q/150/180/190/250</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环氧树脂母线绝缘护套</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10KV；TG1-10Q/TG3-10Q/TG4-10Q</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低压柜连接用母排</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100/125；225/250；400；630</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配电箱接地线</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2.5平方/200mm</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条</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零/地排接线端子双杆</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5孔/7孔/10孔</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阻燃树脂绝缘柱</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m6/m8/m10(绝缘子)</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发电机机油滤芯</w:t>
            </w:r>
          </w:p>
        </w:tc>
        <w:tc>
          <w:tcPr>
            <w:tcW w:w="256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以适配现场发电机组为准</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发电机机油格</w:t>
            </w:r>
          </w:p>
        </w:tc>
        <w:tc>
          <w:tcPr>
            <w:tcW w:w="256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只</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发电机皮带</w:t>
            </w:r>
          </w:p>
        </w:tc>
        <w:tc>
          <w:tcPr>
            <w:tcW w:w="256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条</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发电机机油</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以满足现场发电机组更换需要为准（不低于460升）</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升</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发电机机油发电机冷却液</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以满足现场发电机组更换需要为准（不低于280升）</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升</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r>
    </w:tbl>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default" w:ascii="宋体" w:hAnsi="宋体" w:eastAsia="宋体" w:cs="宋体"/>
          <w:sz w:val="28"/>
          <w:szCs w:val="28"/>
          <w:lang w:val="en-US" w:eastAsia="zh-CN"/>
        </w:rPr>
      </w:pPr>
    </w:p>
    <w:p>
      <w:pPr>
        <w:spacing w:line="24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附件4</w:t>
      </w:r>
    </w:p>
    <w:tbl>
      <w:tblPr>
        <w:tblW w:w="526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019"/>
        <w:gridCol w:w="3315"/>
        <w:gridCol w:w="250"/>
        <w:gridCol w:w="3246"/>
        <w:gridCol w:w="1085"/>
        <w:gridCol w:w="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0" w:type="pct"/>
          <w:trHeight w:val="582" w:hRule="atLeast"/>
          <w:jc w:val="center"/>
        </w:trPr>
        <w:tc>
          <w:tcPr>
            <w:tcW w:w="4969" w:type="pct"/>
            <w:gridSpan w:val="5"/>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供电设备维保外包服务考核评分表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pct"/>
          <w:trHeight w:val="480" w:hRule="atLeast"/>
          <w:jc w:val="center"/>
        </w:trPr>
        <w:tc>
          <w:tcPr>
            <w:tcW w:w="56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维保单位</w:t>
            </w:r>
          </w:p>
        </w:tc>
        <w:tc>
          <w:tcPr>
            <w:tcW w:w="1987" w:type="pct"/>
            <w:gridSpan w:val="2"/>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b/>
                <w:bCs/>
                <w:i w:val="0"/>
                <w:iCs w:val="0"/>
                <w:color w:val="000000"/>
                <w:sz w:val="20"/>
                <w:szCs w:val="20"/>
                <w:u w:val="none"/>
              </w:rPr>
            </w:pPr>
          </w:p>
        </w:tc>
        <w:tc>
          <w:tcPr>
            <w:tcW w:w="180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起止日期：</w:t>
            </w:r>
          </w:p>
        </w:tc>
        <w:tc>
          <w:tcPr>
            <w:tcW w:w="60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bdr w:val="none" w:color="auto" w:sz="0" w:space="0"/>
                <w:lang w:val="en-US" w:eastAsia="zh-CN" w:bidi="ar"/>
              </w:rPr>
            </w:pPr>
            <w:r>
              <w:rPr>
                <w:rFonts w:hint="eastAsia" w:ascii="宋体" w:hAnsi="宋体" w:eastAsia="宋体" w:cs="宋体"/>
                <w:b/>
                <w:bCs/>
                <w:i w:val="0"/>
                <w:iCs w:val="0"/>
                <w:color w:val="000000"/>
                <w:kern w:val="0"/>
                <w:sz w:val="20"/>
                <w:szCs w:val="20"/>
                <w:u w:val="none"/>
                <w:lang w:val="en-US" w:eastAsia="zh-CN" w:bidi="ar"/>
              </w:rPr>
              <w:t>合同签订之日起一年之内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0" w:type="pct"/>
          <w:trHeight w:val="2760" w:hRule="atLeast"/>
          <w:jc w:val="center"/>
        </w:trPr>
        <w:tc>
          <w:tcPr>
            <w:tcW w:w="56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考核办法</w:t>
            </w:r>
          </w:p>
        </w:tc>
        <w:tc>
          <w:tcPr>
            <w:tcW w:w="198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1.采购人按月对供应商进行考核，考核以设备运行完好性率和有关记录作为依据，以每分200元进行考核扣款。                                                       1.1每月考核一次，满分100分，每月考核分数由当月各项考核分数汇总组成，供应商每月25日将当月《月度工作总结》交给采购人；                            1.2采购人每月底最后一天将考核分汇总通报供应商，供应商出具考核确认函至采购人。</w:t>
            </w:r>
          </w:p>
        </w:tc>
        <w:tc>
          <w:tcPr>
            <w:tcW w:w="24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1.3供应商</w:t>
            </w:r>
            <w:r>
              <w:rPr>
                <w:rStyle w:val="15"/>
                <w:bdr w:val="none" w:color="auto" w:sz="0" w:space="0"/>
                <w:lang w:val="en-US" w:eastAsia="zh-CN" w:bidi="ar"/>
              </w:rPr>
              <w:t>每月</w:t>
            </w:r>
            <w:r>
              <w:rPr>
                <w:rStyle w:val="16"/>
                <w:bdr w:val="none" w:color="auto" w:sz="0" w:space="0"/>
                <w:lang w:val="en-US" w:eastAsia="zh-CN" w:bidi="ar"/>
              </w:rPr>
              <w:t>考核总分为100分，考核扣款按200元/分扣除，即：扣款金额=（100-月度考核得分）x200元；                                                      1.4供应商在维保考核连续两个</w:t>
            </w:r>
            <w:r>
              <w:rPr>
                <w:rStyle w:val="16"/>
                <w:rFonts w:hint="eastAsia"/>
                <w:bdr w:val="none" w:color="auto" w:sz="0" w:space="0"/>
                <w:lang w:val="en-US" w:eastAsia="zh-CN" w:bidi="ar"/>
              </w:rPr>
              <w:t>月</w:t>
            </w:r>
            <w:r>
              <w:rPr>
                <w:rStyle w:val="16"/>
                <w:bdr w:val="none" w:color="auto" w:sz="0" w:space="0"/>
                <w:lang w:val="en-US" w:eastAsia="zh-CN" w:bidi="ar"/>
              </w:rPr>
              <w:t>低于80分，或因供应商不负责任的维保而造成医院供电不能正常工作，采购人有权单方面解除合同并就医院造成的损失保留向供应商索赔的权利；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0" w:type="pct"/>
          <w:trHeight w:val="48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考核内容</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评分标准</w:t>
            </w:r>
          </w:p>
        </w:tc>
        <w:tc>
          <w:tcPr>
            <w:tcW w:w="60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0" w:type="pct"/>
          <w:trHeight w:val="92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2.1响应时间：接采购人维修通知后，应尽快赶到现场，每次维修人员到达现场不超过30分钟，否则按1分钟扣0.1分，以此累积。超过50分钟每次扣10分。重复发现响应不及时，翻倍扣分。</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每次扣0.1</w:t>
            </w:r>
          </w:p>
        </w:tc>
        <w:tc>
          <w:tcPr>
            <w:tcW w:w="60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pct"/>
          <w:trHeight w:val="114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故障处理：一般事故情况下，供应商保证电力设备小修在1小时内、中修在4小时内、大修在24小时内修复正常，若确因无配件更换，需要外地采购时，常规零配件采购期不得超过24小时；进口零配件采购期不得超过一周。</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每违约一次扣2分</w:t>
            </w:r>
          </w:p>
        </w:tc>
        <w:tc>
          <w:tcPr>
            <w:tcW w:w="60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pct"/>
          <w:trHeight w:val="72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2.3按要求每月完善各项巡查、维修记录</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每缺少一样扣0.2分</w:t>
            </w:r>
          </w:p>
        </w:tc>
        <w:tc>
          <w:tcPr>
            <w:tcW w:w="60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0" w:type="pct"/>
          <w:trHeight w:val="102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2.4重大事项报告：建立《医院电力设备缺陷记录》，巡视中发现重大问题或重大安全隐患及时向采购人反馈，并及时进行处理，经医院指定分管人员验收合格后，办理消缺手续并填写《日常消缺记录》。</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漏报、瞒报的，发现一次扣4分，未处理一次扣2分</w:t>
            </w:r>
          </w:p>
        </w:tc>
        <w:tc>
          <w:tcPr>
            <w:tcW w:w="60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0" w:type="pct"/>
          <w:trHeight w:val="1302"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2.5为确保人生安全，保证变配电无事故地运行，作业人员严格按照《电力变压器运行规程》、《电业安全工作规程》、《高低压安全操作规章制度》等规范执行，不得出现因违规操作引起的设备事故及人身事故。</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每发现一次扣10分</w:t>
            </w:r>
          </w:p>
        </w:tc>
        <w:tc>
          <w:tcPr>
            <w:tcW w:w="60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pct"/>
          <w:trHeight w:val="72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2.6完成年度预防性试验检测、停电应急预案演练计划，完善相关记录归档。</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每未按时一次扣3分，未记录一次扣0.5分</w:t>
            </w:r>
          </w:p>
        </w:tc>
        <w:tc>
          <w:tcPr>
            <w:tcW w:w="60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2.7如需动火作业维修，须征得甲方同意，并办理动火作业证方能维修作业。</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每违约一次扣2分</w:t>
            </w:r>
          </w:p>
        </w:tc>
        <w:tc>
          <w:tcPr>
            <w:tcW w:w="63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2.8供应商每月末25号之前，须向采购人按时提交《月度工作总结报告》，作为考核依据之一。</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未按时提交，每超过一天扣0.5分</w:t>
            </w:r>
          </w:p>
        </w:tc>
        <w:tc>
          <w:tcPr>
            <w:tcW w:w="63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2.9人员安排：按磋商响应文件要求，安排具有相关特种作业证书的工作人员技术人员。</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未按要求指派每次扣5分</w:t>
            </w:r>
          </w:p>
        </w:tc>
        <w:tc>
          <w:tcPr>
            <w:tcW w:w="63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高压作业证只要应急局发的）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2.10工作人员须严格按照规范进行穿戴，工作期间不得吸烟，工作前不得饮酒。</w:t>
            </w:r>
          </w:p>
        </w:tc>
        <w:tc>
          <w:tcPr>
            <w:tcW w:w="180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每违约一次扣4分</w:t>
            </w:r>
          </w:p>
        </w:tc>
        <w:tc>
          <w:tcPr>
            <w:tcW w:w="635" w:type="pct"/>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0" w:type="pct"/>
          <w:trHeight w:val="540" w:hRule="atLeast"/>
          <w:jc w:val="center"/>
        </w:trPr>
        <w:tc>
          <w:tcPr>
            <w:tcW w:w="241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最后考核得分</w:t>
            </w:r>
          </w:p>
        </w:tc>
        <w:tc>
          <w:tcPr>
            <w:tcW w:w="2553" w:type="pct"/>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pct"/>
          <w:trHeight w:val="739" w:hRule="atLeast"/>
          <w:jc w:val="center"/>
        </w:trPr>
        <w:tc>
          <w:tcPr>
            <w:tcW w:w="2555"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考核小组：</w:t>
            </w:r>
          </w:p>
        </w:tc>
        <w:tc>
          <w:tcPr>
            <w:tcW w:w="2414"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被考核单位：</w:t>
            </w:r>
          </w:p>
        </w:tc>
      </w:tr>
    </w:tbl>
    <w:p>
      <w:p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br w:type="page"/>
      </w:r>
    </w:p>
    <w:p>
      <w:pPr>
        <w:spacing w:line="240" w:lineRule="auto"/>
        <w:rPr>
          <w:rFonts w:hint="eastAsia" w:ascii="宋体" w:hAnsi="宋体" w:eastAsia="宋体" w:cs="宋体"/>
          <w:sz w:val="28"/>
          <w:szCs w:val="28"/>
          <w:lang w:val="en-US" w:eastAsia="zh-CN"/>
        </w:rPr>
        <w:sectPr>
          <w:pgSz w:w="11906" w:h="16838"/>
          <w:pgMar w:top="1440" w:right="1800" w:bottom="1440" w:left="1800" w:header="851" w:footer="992" w:gutter="0"/>
          <w:cols w:space="425" w:num="1"/>
          <w:docGrid w:type="lines" w:linePitch="312" w:charSpace="0"/>
        </w:sectPr>
      </w:pPr>
    </w:p>
    <w:p>
      <w:pPr>
        <w:spacing w:line="24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附件5</w:t>
      </w:r>
    </w:p>
    <w:p>
      <w:pPr>
        <w:rPr>
          <w:rFonts w:hint="default" w:eastAsiaTheme="minorEastAsia"/>
          <w:b/>
          <w:bCs/>
          <w:sz w:val="28"/>
          <w:szCs w:val="28"/>
          <w:lang w:val="en-US" w:eastAsia="zh-CN"/>
        </w:rPr>
      </w:pPr>
      <w:r>
        <w:rPr>
          <w:rFonts w:hint="eastAsia"/>
          <w:b/>
          <w:bCs/>
          <w:sz w:val="28"/>
          <w:szCs w:val="28"/>
          <w:lang w:eastAsia="zh-CN"/>
        </w:rPr>
        <w:t>大山坪</w:t>
      </w:r>
      <w:r>
        <w:rPr>
          <w:rFonts w:hint="eastAsia"/>
          <w:b/>
          <w:bCs/>
          <w:sz w:val="28"/>
          <w:szCs w:val="28"/>
          <w:lang w:val="en-US" w:eastAsia="zh-CN"/>
        </w:rPr>
        <w:t>院区供电系统图示</w:t>
      </w:r>
    </w:p>
    <w:p>
      <w:r>
        <w:drawing>
          <wp:inline distT="0" distB="0" distL="0" distR="0">
            <wp:extent cx="8473440" cy="4048760"/>
            <wp:effectExtent l="0" t="0" r="3810" b="8890"/>
            <wp:docPr id="1" name="Picutre 1"/>
            <wp:cNvGraphicFramePr/>
            <a:graphic xmlns:a="http://schemas.openxmlformats.org/drawingml/2006/main">
              <a:graphicData uri="http://schemas.openxmlformats.org/drawingml/2006/picture">
                <pic:pic xmlns:pic="http://schemas.openxmlformats.org/drawingml/2006/picture">
                  <pic:nvPicPr>
                    <pic:cNvPr id="1" name="Picutre 1"/>
                    <pic:cNvPicPr/>
                  </pic:nvPicPr>
                  <pic:blipFill>
                    <a:blip r:embed="rId4"/>
                    <a:stretch>
                      <a:fillRect/>
                    </a:stretch>
                  </pic:blipFill>
                  <pic:spPr>
                    <a:xfrm>
                      <a:off x="0" y="0"/>
                      <a:ext cx="8473440" cy="4048760"/>
                    </a:xfrm>
                    <a:prstGeom prst="rect">
                      <a:avLst/>
                    </a:prstGeom>
                  </pic:spPr>
                </pic:pic>
              </a:graphicData>
            </a:graphic>
          </wp:inline>
        </w:drawing>
      </w:r>
    </w:p>
    <w:p/>
    <w:p/>
    <w:p>
      <w:pPr>
        <w:rPr>
          <w:rFonts w:hint="eastAsia" w:eastAsiaTheme="minorEastAsia"/>
          <w:lang w:eastAsia="zh-CN"/>
        </w:rPr>
      </w:pPr>
      <w:r>
        <w:rPr>
          <w:rFonts w:hint="eastAsia" w:eastAsiaTheme="minorEastAsia"/>
          <w:lang w:eastAsia="zh-CN"/>
        </w:rPr>
        <w:drawing>
          <wp:inline distT="0" distB="0" distL="114300" distR="114300">
            <wp:extent cx="8414385" cy="4897755"/>
            <wp:effectExtent l="0" t="0" r="5715" b="17145"/>
            <wp:docPr id="3" name="图片 3" descr="b205b5551eb0d4c163e066b26b88c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205b5551eb0d4c163e066b26b88cca"/>
                    <pic:cNvPicPr>
                      <a:picLocks noChangeAspect="1"/>
                    </pic:cNvPicPr>
                  </pic:nvPicPr>
                  <pic:blipFill>
                    <a:blip r:embed="rId5"/>
                    <a:stretch>
                      <a:fillRect/>
                    </a:stretch>
                  </pic:blipFill>
                  <pic:spPr>
                    <a:xfrm>
                      <a:off x="0" y="0"/>
                      <a:ext cx="8414385" cy="4897755"/>
                    </a:xfrm>
                    <a:prstGeom prst="rect">
                      <a:avLst/>
                    </a:prstGeom>
                  </pic:spPr>
                </pic:pic>
              </a:graphicData>
            </a:graphic>
          </wp:inline>
        </w:drawing>
      </w:r>
    </w:p>
    <w:p>
      <w:pPr>
        <w:rPr>
          <w:rFonts w:hint="eastAsia"/>
          <w:b/>
          <w:bCs/>
          <w:sz w:val="28"/>
          <w:szCs w:val="28"/>
          <w:lang w:val="en-US" w:eastAsia="zh-CN"/>
        </w:rPr>
      </w:pPr>
      <w:r>
        <w:rPr>
          <w:rFonts w:hint="eastAsia"/>
          <w:b/>
          <w:bCs/>
          <w:sz w:val="28"/>
          <w:szCs w:val="28"/>
          <w:lang w:eastAsia="zh-CN"/>
        </w:rPr>
        <w:t>城南</w:t>
      </w:r>
      <w:r>
        <w:rPr>
          <w:rFonts w:hint="eastAsia"/>
          <w:b/>
          <w:bCs/>
          <w:sz w:val="28"/>
          <w:szCs w:val="28"/>
          <w:lang w:val="en-US" w:eastAsia="zh-CN"/>
        </w:rPr>
        <w:t>院区供电系统图示</w:t>
      </w:r>
    </w:p>
    <w:p>
      <w:pPr>
        <w:rPr>
          <w:rFonts w:hint="eastAsia" w:eastAsiaTheme="minorEastAsia"/>
          <w:lang w:eastAsia="zh-CN"/>
        </w:rPr>
      </w:pPr>
    </w:p>
    <w:p>
      <w:pPr>
        <w:spacing w:line="240" w:lineRule="auto"/>
        <w:rPr>
          <w:rFonts w:hint="default" w:ascii="宋体" w:hAnsi="宋体" w:eastAsia="宋体" w:cs="宋体"/>
          <w:sz w:val="28"/>
          <w:szCs w:val="28"/>
          <w:lang w:val="en-US" w:eastAsia="zh-CN"/>
        </w:rPr>
      </w:pPr>
      <w:r>
        <w:rPr>
          <w:rFonts w:hint="eastAsia"/>
          <w:b/>
          <w:bCs/>
          <w:sz w:val="28"/>
          <w:szCs w:val="28"/>
          <w:lang w:val="en-US" w:eastAsia="zh-CN"/>
        </w:rPr>
        <w:drawing>
          <wp:inline distT="0" distB="0" distL="114300" distR="114300">
            <wp:extent cx="8326755" cy="4498975"/>
            <wp:effectExtent l="0" t="0" r="17145" b="15875"/>
            <wp:docPr id="5" name="图片 5" descr="aff6faf2447a6e8ef415ba9694c4c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ff6faf2447a6e8ef415ba9694c4c4b"/>
                    <pic:cNvPicPr>
                      <a:picLocks noChangeAspect="1"/>
                    </pic:cNvPicPr>
                  </pic:nvPicPr>
                  <pic:blipFill>
                    <a:blip r:embed="rId6"/>
                    <a:stretch>
                      <a:fillRect/>
                    </a:stretch>
                  </pic:blipFill>
                  <pic:spPr>
                    <a:xfrm>
                      <a:off x="0" y="0"/>
                      <a:ext cx="8326755" cy="4498975"/>
                    </a:xfrm>
                    <a:prstGeom prst="rect">
                      <a:avLst/>
                    </a:prstGeom>
                  </pic:spPr>
                </pic:pic>
              </a:graphicData>
            </a:graphic>
          </wp:inline>
        </w:drawing>
      </w:r>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Dc1ZmI3NjNjNWQ2N2EzMDNkYjQ3NjkzNTU2NTQifQ=="/>
  </w:docVars>
  <w:rsids>
    <w:rsidRoot w:val="00000000"/>
    <w:rsid w:val="02906F11"/>
    <w:rsid w:val="062E2F61"/>
    <w:rsid w:val="06EB7F89"/>
    <w:rsid w:val="073B1607"/>
    <w:rsid w:val="0A8179E3"/>
    <w:rsid w:val="0B952F4D"/>
    <w:rsid w:val="0D987F7E"/>
    <w:rsid w:val="140E413A"/>
    <w:rsid w:val="18CE7660"/>
    <w:rsid w:val="1C2336B3"/>
    <w:rsid w:val="1C36422E"/>
    <w:rsid w:val="22ED7010"/>
    <w:rsid w:val="23B83E1D"/>
    <w:rsid w:val="249F6C02"/>
    <w:rsid w:val="2B732DA8"/>
    <w:rsid w:val="2DFE28CF"/>
    <w:rsid w:val="30BF25EC"/>
    <w:rsid w:val="319A603B"/>
    <w:rsid w:val="37ED1CB2"/>
    <w:rsid w:val="3B412456"/>
    <w:rsid w:val="3BDD2324"/>
    <w:rsid w:val="3BEE1FD7"/>
    <w:rsid w:val="3DA9265A"/>
    <w:rsid w:val="43497EE7"/>
    <w:rsid w:val="46F74436"/>
    <w:rsid w:val="4C1D214F"/>
    <w:rsid w:val="53F07DF8"/>
    <w:rsid w:val="574472CC"/>
    <w:rsid w:val="57E9247C"/>
    <w:rsid w:val="586A05AE"/>
    <w:rsid w:val="5C5C2C26"/>
    <w:rsid w:val="60EF3C1D"/>
    <w:rsid w:val="649A686C"/>
    <w:rsid w:val="65890FF7"/>
    <w:rsid w:val="66682803"/>
    <w:rsid w:val="67F3390B"/>
    <w:rsid w:val="6A5F1190"/>
    <w:rsid w:val="6B7B638D"/>
    <w:rsid w:val="6C07661A"/>
    <w:rsid w:val="6FC860C0"/>
    <w:rsid w:val="70F55465"/>
    <w:rsid w:val="71C805F9"/>
    <w:rsid w:val="7508339D"/>
    <w:rsid w:val="792A4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next w:val="1"/>
    <w:autoRedefine/>
    <w:qFormat/>
    <w:uiPriority w:val="0"/>
    <w:pPr>
      <w:spacing w:after="120"/>
    </w:pPr>
    <w:rPr>
      <w:kern w:val="0"/>
      <w:sz w:val="20"/>
    </w:rPr>
  </w:style>
  <w:style w:type="paragraph" w:styleId="4">
    <w:name w:val="Plain Text"/>
    <w:basedOn w:val="1"/>
    <w:autoRedefine/>
    <w:qFormat/>
    <w:uiPriority w:val="0"/>
    <w:rPr>
      <w:rFonts w:hAnsi="Courier New"/>
    </w:rPr>
  </w:style>
  <w:style w:type="paragraph" w:styleId="5">
    <w:name w:val="Normal (Web)"/>
    <w:basedOn w:val="1"/>
    <w:autoRedefine/>
    <w:qFormat/>
    <w:uiPriority w:val="0"/>
    <w:pPr>
      <w:widowControl/>
      <w:spacing w:before="100" w:beforeAutospacing="1" w:after="100" w:afterAutospacing="1"/>
      <w:jc w:val="left"/>
    </w:pPr>
    <w:rPr>
      <w:rFonts w:hAnsi="宋体"/>
      <w:sz w:val="18"/>
    </w:rPr>
  </w:style>
  <w:style w:type="paragraph" w:styleId="6">
    <w:name w:val="Body Text First Indent"/>
    <w:basedOn w:val="3"/>
    <w:next w:val="7"/>
    <w:autoRedefine/>
    <w:qFormat/>
    <w:uiPriority w:val="0"/>
    <w:pPr>
      <w:spacing w:line="360" w:lineRule="auto"/>
      <w:ind w:left="30" w:leftChars="30" w:firstLine="420" w:firstLineChars="100"/>
    </w:pPr>
    <w:rPr>
      <w:rFonts w:ascii="宋体" w:hAnsi="宋体"/>
      <w:kern w:val="0"/>
      <w:sz w:val="24"/>
      <w:szCs w:val="18"/>
    </w:rPr>
  </w:style>
  <w:style w:type="paragraph" w:customStyle="1" w:styleId="7">
    <w:name w:val="段落正文"/>
    <w:basedOn w:val="1"/>
    <w:autoRedefine/>
    <w:qFormat/>
    <w:uiPriority w:val="0"/>
    <w:pPr>
      <w:spacing w:beforeLines="50" w:line="360" w:lineRule="auto"/>
      <w:ind w:firstLine="200" w:firstLineChars="200"/>
    </w:pPr>
    <w:rPr>
      <w:rFonts w:ascii="Times New Roman"/>
      <w:spacing w:val="2"/>
      <w:sz w:val="24"/>
    </w:rPr>
  </w:style>
  <w:style w:type="character" w:styleId="10">
    <w:name w:val="Strong"/>
    <w:basedOn w:val="9"/>
    <w:qFormat/>
    <w:uiPriority w:val="0"/>
    <w:rPr>
      <w:b/>
    </w:rPr>
  </w:style>
  <w:style w:type="paragraph" w:styleId="11">
    <w:name w:val="Quote"/>
    <w:basedOn w:val="1"/>
    <w:next w:val="1"/>
    <w:autoRedefine/>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 w:type="character" w:customStyle="1" w:styleId="12">
    <w:name w:val="font91"/>
    <w:basedOn w:val="9"/>
    <w:autoRedefine/>
    <w:qFormat/>
    <w:uiPriority w:val="0"/>
    <w:rPr>
      <w:rFonts w:hint="eastAsia" w:ascii="宋体" w:hAnsi="宋体" w:eastAsia="宋体" w:cs="宋体"/>
      <w:color w:val="FF0000"/>
      <w:sz w:val="16"/>
      <w:szCs w:val="16"/>
      <w:u w:val="none"/>
    </w:rPr>
  </w:style>
  <w:style w:type="character" w:customStyle="1" w:styleId="13">
    <w:name w:val="font71"/>
    <w:basedOn w:val="9"/>
    <w:autoRedefine/>
    <w:qFormat/>
    <w:uiPriority w:val="0"/>
    <w:rPr>
      <w:rFonts w:hint="eastAsia" w:ascii="宋体" w:hAnsi="宋体" w:eastAsia="宋体" w:cs="宋体"/>
      <w:color w:val="000000"/>
      <w:sz w:val="16"/>
      <w:szCs w:val="16"/>
      <w:u w:val="none"/>
    </w:rPr>
  </w:style>
  <w:style w:type="paragraph" w:styleId="14">
    <w:name w:val="List Paragraph"/>
    <w:basedOn w:val="1"/>
    <w:autoRedefine/>
    <w:qFormat/>
    <w:uiPriority w:val="34"/>
    <w:pPr>
      <w:ind w:firstLine="420" w:firstLineChars="200"/>
    </w:pPr>
  </w:style>
  <w:style w:type="character" w:customStyle="1" w:styleId="15">
    <w:name w:val="font51"/>
    <w:basedOn w:val="9"/>
    <w:uiPriority w:val="0"/>
    <w:rPr>
      <w:rFonts w:hint="eastAsia" w:ascii="宋体" w:hAnsi="宋体" w:eastAsia="宋体" w:cs="宋体"/>
      <w:color w:val="000000"/>
      <w:sz w:val="20"/>
      <w:szCs w:val="20"/>
      <w:u w:val="none"/>
    </w:rPr>
  </w:style>
  <w:style w:type="character" w:customStyle="1" w:styleId="16">
    <w:name w:val="font31"/>
    <w:basedOn w:val="9"/>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ZYY</dc:creator>
  <cp:lastModifiedBy>宋婷婷</cp:lastModifiedBy>
  <dcterms:modified xsi:type="dcterms:W3CDTF">2024-05-08T02:33:30Z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871256CCB1E84948A2560AE634433EB1_12</vt:lpwstr>
  </property>
</Properties>
</file>