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exact"/>
        <w:ind w:right="537" w:rightChars="158"/>
        <w:jc w:val="center"/>
        <w:rPr>
          <w:rFonts w:ascii="宋体" w:hAnsi="宋体" w:eastAsia="宋体" w:cs="宋体"/>
          <w:sz w:val="36"/>
          <w:szCs w:val="22"/>
        </w:rPr>
      </w:pPr>
      <w:bookmarkStart w:id="4" w:name="_GoBack"/>
      <w:bookmarkEnd w:id="4"/>
      <w:bookmarkStart w:id="0" w:name="_Toc331850068"/>
      <w:bookmarkStart w:id="1" w:name="_Toc8678_WPSOffice_Level1"/>
      <w:bookmarkStart w:id="2" w:name="_Toc11278"/>
      <w:r>
        <w:rPr>
          <w:rFonts w:hint="eastAsia" w:ascii="宋体" w:hAnsi="宋体" w:eastAsia="宋体" w:cs="宋体"/>
          <w:sz w:val="36"/>
          <w:szCs w:val="22"/>
        </w:rPr>
        <w:t>比选项目服务及其他要求</w:t>
      </w:r>
      <w:bookmarkEnd w:id="0"/>
      <w:bookmarkEnd w:id="1"/>
      <w:bookmarkEnd w:id="2"/>
    </w:p>
    <w:p>
      <w:pPr>
        <w:pStyle w:val="2"/>
        <w:outlineLvl w:val="1"/>
      </w:pPr>
      <w:r>
        <w:rPr>
          <w:rFonts w:hint="eastAsia"/>
          <w:b/>
          <w:bCs/>
          <w:sz w:val="28"/>
          <w:szCs w:val="16"/>
        </w:rPr>
        <w:t>一、项目概述</w:t>
      </w:r>
    </w:p>
    <w:p>
      <w:pPr>
        <w:pStyle w:val="6"/>
        <w:wordWrap w:val="0"/>
        <w:adjustRightInd w:val="0"/>
        <w:snapToGrid w:val="0"/>
        <w:spacing w:before="0" w:beforeAutospacing="0" w:after="0" w:afterAutospacing="0" w:line="276" w:lineRule="auto"/>
        <w:rPr>
          <w:sz w:val="24"/>
          <w:szCs w:val="21"/>
        </w:rPr>
      </w:pPr>
      <w:bookmarkStart w:id="3" w:name="PO_默认文件内容_3"/>
      <w:r>
        <w:rPr>
          <w:rFonts w:hint="eastAsia"/>
          <w:bCs/>
          <w:sz w:val="24"/>
          <w:szCs w:val="21"/>
        </w:rPr>
        <w:t>本项目拟采购医用耗材1批及相关配送服务供应商</w:t>
      </w:r>
      <w:r>
        <w:rPr>
          <w:rFonts w:hint="eastAsia"/>
          <w:sz w:val="24"/>
          <w:szCs w:val="21"/>
        </w:rPr>
        <w:t>。</w:t>
      </w:r>
      <w:bookmarkEnd w:id="3"/>
    </w:p>
    <w:tbl>
      <w:tblPr>
        <w:tblStyle w:val="7"/>
        <w:tblW w:w="12115" w:type="dxa"/>
        <w:tblInd w:w="-144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55"/>
        <w:gridCol w:w="595"/>
        <w:gridCol w:w="169"/>
        <w:gridCol w:w="750"/>
        <w:gridCol w:w="2121"/>
        <w:gridCol w:w="919"/>
        <w:gridCol w:w="2705"/>
        <w:gridCol w:w="636"/>
        <w:gridCol w:w="283"/>
        <w:gridCol w:w="213"/>
        <w:gridCol w:w="423"/>
        <w:gridCol w:w="406"/>
        <w:gridCol w:w="90"/>
        <w:gridCol w:w="829"/>
        <w:gridCol w:w="138"/>
        <w:gridCol w:w="9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tcBorders>
              <w:tl2br w:val="nil"/>
              <w:tr2bl w:val="nil"/>
            </w:tcBorders>
            <w:noWrap/>
            <w:vAlign w:val="center"/>
          </w:tcPr>
          <w:p>
            <w:pPr>
              <w:adjustRightInd w:val="0"/>
              <w:snapToGrid w:val="0"/>
              <w:spacing w:line="240" w:lineRule="exact"/>
              <w:jc w:val="center"/>
              <w:rPr>
                <w:rFonts w:hAnsi="宋体" w:cs="宋体"/>
                <w:b/>
                <w:sz w:val="21"/>
                <w:szCs w:val="21"/>
              </w:rPr>
            </w:pPr>
            <w:r>
              <w:rPr>
                <w:rFonts w:hint="eastAsia" w:hAnsi="宋体" w:cs="宋体"/>
                <w:b/>
                <w:sz w:val="21"/>
                <w:szCs w:val="21"/>
              </w:rPr>
              <w:t>包号</w:t>
            </w:r>
          </w:p>
        </w:tc>
        <w:tc>
          <w:tcPr>
            <w:tcW w:w="750" w:type="dxa"/>
            <w:gridSpan w:val="2"/>
            <w:tcBorders>
              <w:tl2br w:val="nil"/>
              <w:tr2bl w:val="nil"/>
            </w:tcBorders>
            <w:noWrap/>
            <w:vAlign w:val="center"/>
          </w:tcPr>
          <w:p>
            <w:pPr>
              <w:adjustRightInd w:val="0"/>
              <w:snapToGrid w:val="0"/>
              <w:spacing w:line="240" w:lineRule="exact"/>
              <w:jc w:val="center"/>
              <w:rPr>
                <w:rFonts w:hAnsi="宋体" w:cs="宋体"/>
                <w:b/>
                <w:sz w:val="21"/>
                <w:szCs w:val="21"/>
              </w:rPr>
            </w:pPr>
            <w:r>
              <w:rPr>
                <w:rFonts w:hint="eastAsia" w:hAnsi="宋体" w:cs="宋体"/>
                <w:b/>
                <w:sz w:val="21"/>
                <w:szCs w:val="21"/>
              </w:rPr>
              <w:t>品目序号</w:t>
            </w:r>
          </w:p>
        </w:tc>
        <w:tc>
          <w:tcPr>
            <w:tcW w:w="3040" w:type="dxa"/>
            <w:gridSpan w:val="3"/>
            <w:tcBorders>
              <w:tl2br w:val="nil"/>
              <w:tr2bl w:val="nil"/>
            </w:tcBorders>
            <w:noWrap/>
            <w:vAlign w:val="center"/>
          </w:tcPr>
          <w:p>
            <w:pPr>
              <w:widowControl/>
              <w:spacing w:line="240" w:lineRule="exact"/>
              <w:jc w:val="center"/>
              <w:textAlignment w:val="center"/>
              <w:rPr>
                <w:rFonts w:hAnsi="宋体" w:cs="宋体"/>
                <w:b/>
                <w:sz w:val="21"/>
                <w:szCs w:val="21"/>
              </w:rPr>
            </w:pPr>
            <w:r>
              <w:rPr>
                <w:rFonts w:hint="eastAsia" w:hAnsi="宋体" w:cs="宋体"/>
                <w:b/>
                <w:sz w:val="21"/>
                <w:szCs w:val="21"/>
              </w:rPr>
              <w:t>货物名称</w:t>
            </w:r>
          </w:p>
        </w:tc>
        <w:tc>
          <w:tcPr>
            <w:tcW w:w="3624" w:type="dxa"/>
            <w:gridSpan w:val="2"/>
            <w:tcBorders>
              <w:tl2br w:val="nil"/>
              <w:tr2bl w:val="nil"/>
            </w:tcBorders>
            <w:noWrap/>
            <w:vAlign w:val="center"/>
          </w:tcPr>
          <w:p>
            <w:pPr>
              <w:widowControl/>
              <w:spacing w:line="240" w:lineRule="exact"/>
              <w:jc w:val="center"/>
              <w:textAlignment w:val="center"/>
              <w:rPr>
                <w:rFonts w:hAnsi="宋体" w:cs="宋体"/>
                <w:b/>
                <w:sz w:val="21"/>
                <w:szCs w:val="21"/>
              </w:rPr>
            </w:pPr>
            <w:r>
              <w:rPr>
                <w:rFonts w:hint="eastAsia" w:hAnsi="宋体" w:cs="宋体"/>
                <w:b/>
                <w:sz w:val="21"/>
                <w:szCs w:val="21"/>
              </w:rPr>
              <w:t>规格型号</w:t>
            </w:r>
          </w:p>
        </w:tc>
        <w:tc>
          <w:tcPr>
            <w:tcW w:w="636" w:type="dxa"/>
            <w:tcBorders>
              <w:tl2br w:val="nil"/>
              <w:tr2bl w:val="nil"/>
            </w:tcBorders>
            <w:noWrap/>
            <w:vAlign w:val="center"/>
          </w:tcPr>
          <w:p>
            <w:pPr>
              <w:widowControl/>
              <w:spacing w:line="240" w:lineRule="exact"/>
              <w:jc w:val="center"/>
              <w:textAlignment w:val="center"/>
              <w:rPr>
                <w:rFonts w:hAnsi="宋体" w:cs="宋体"/>
                <w:b/>
                <w:sz w:val="21"/>
                <w:szCs w:val="21"/>
              </w:rPr>
            </w:pPr>
            <w:r>
              <w:rPr>
                <w:rFonts w:hint="eastAsia" w:hAnsi="宋体" w:cs="宋体"/>
                <w:b/>
                <w:sz w:val="21"/>
                <w:szCs w:val="21"/>
              </w:rPr>
              <w:t>是否允许进口</w:t>
            </w:r>
          </w:p>
        </w:tc>
        <w:tc>
          <w:tcPr>
            <w:tcW w:w="496" w:type="dxa"/>
            <w:gridSpan w:val="2"/>
            <w:tcBorders>
              <w:tl2br w:val="nil"/>
              <w:tr2bl w:val="nil"/>
            </w:tcBorders>
            <w:noWrap/>
            <w:vAlign w:val="center"/>
          </w:tcPr>
          <w:p>
            <w:pPr>
              <w:widowControl/>
              <w:spacing w:line="240" w:lineRule="exact"/>
              <w:jc w:val="center"/>
              <w:textAlignment w:val="center"/>
              <w:rPr>
                <w:rFonts w:hAnsi="宋体" w:cs="宋体"/>
                <w:b/>
                <w:sz w:val="21"/>
                <w:szCs w:val="21"/>
              </w:rPr>
            </w:pPr>
            <w:r>
              <w:rPr>
                <w:rFonts w:hint="eastAsia" w:hAnsi="宋体" w:cs="宋体"/>
                <w:b/>
                <w:sz w:val="21"/>
                <w:szCs w:val="21"/>
              </w:rPr>
              <w:t>计量单位</w:t>
            </w:r>
          </w:p>
        </w:tc>
        <w:tc>
          <w:tcPr>
            <w:tcW w:w="829" w:type="dxa"/>
            <w:gridSpan w:val="2"/>
            <w:tcBorders>
              <w:tl2br w:val="nil"/>
              <w:tr2bl w:val="nil"/>
            </w:tcBorders>
            <w:noWrap/>
            <w:vAlign w:val="center"/>
          </w:tcPr>
          <w:p>
            <w:pPr>
              <w:widowControl/>
              <w:spacing w:line="240" w:lineRule="exact"/>
              <w:jc w:val="center"/>
              <w:textAlignment w:val="center"/>
              <w:rPr>
                <w:rFonts w:hAnsi="宋体" w:cs="宋体"/>
                <w:b/>
                <w:sz w:val="21"/>
                <w:szCs w:val="21"/>
              </w:rPr>
            </w:pPr>
            <w:r>
              <w:rPr>
                <w:rFonts w:hint="eastAsia" w:hAnsi="宋体" w:cs="宋体"/>
                <w:b/>
                <w:sz w:val="21"/>
                <w:szCs w:val="21"/>
              </w:rPr>
              <w:t>预采购数量（3年）</w:t>
            </w:r>
          </w:p>
        </w:tc>
        <w:tc>
          <w:tcPr>
            <w:tcW w:w="1057" w:type="dxa"/>
            <w:gridSpan w:val="3"/>
            <w:tcBorders>
              <w:tl2br w:val="nil"/>
              <w:tr2bl w:val="nil"/>
            </w:tcBorders>
            <w:noWrap/>
            <w:vAlign w:val="center"/>
          </w:tcPr>
          <w:p>
            <w:pPr>
              <w:widowControl/>
              <w:spacing w:line="240" w:lineRule="exact"/>
              <w:jc w:val="center"/>
              <w:textAlignment w:val="center"/>
              <w:rPr>
                <w:rFonts w:hAnsi="宋体" w:cs="宋体"/>
                <w:b/>
                <w:sz w:val="21"/>
                <w:szCs w:val="21"/>
              </w:rPr>
            </w:pPr>
            <w:r>
              <w:rPr>
                <w:rFonts w:hint="eastAsia" w:hAnsi="宋体" w:cs="宋体"/>
                <w:b/>
                <w:sz w:val="21"/>
                <w:szCs w:val="21"/>
              </w:rPr>
              <w:t>本项目单品最高限价（元）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restart"/>
            <w:tcBorders>
              <w:tl2br w:val="nil"/>
              <w:tr2bl w:val="nil"/>
            </w:tcBorders>
            <w:noWrap/>
            <w:vAlign w:val="center"/>
          </w:tcPr>
          <w:p>
            <w:pPr>
              <w:spacing w:line="240" w:lineRule="exact"/>
              <w:jc w:val="left"/>
              <w:rPr>
                <w:rFonts w:hAnsi="宋体" w:cs="宋体"/>
                <w:sz w:val="21"/>
                <w:szCs w:val="21"/>
              </w:rPr>
            </w:pPr>
            <w:r>
              <w:rPr>
                <w:rFonts w:hint="eastAsia" w:hAnsi="宋体" w:cs="宋体"/>
                <w:sz w:val="21"/>
                <w:szCs w:val="21"/>
              </w:rPr>
              <w:t>06包三维类射频消融术及结构性心脏病介入术</w:t>
            </w: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06-01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三维诊断超声导管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133*6*6cm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19800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06-02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星形磁电双定位标测导管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44*28*4.5cm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25200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06-03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冷盐水灌注消融导管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150*11*4cm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20168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06-04</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三维标测消融导管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150*11*4cm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13500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06-05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三维标测消融导管 （压力感应型）</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150*11*4cm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27850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06-06</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体表参考电极</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36.5*16.5*3cm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6120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06-07</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固定弯十极标测导管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30.5*30.5*2cm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3602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06-08</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固定弯四极标测导管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30.5*30.5*2cm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06-09</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电生理固定弯导引鞘管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30.5*30.5*2cm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06-10</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灌注管路系统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23*23*4cm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06-11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可调弯十极标测导管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30.5*30.5*2cm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5460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06-12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诊断环形标测导管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44*28*4.5cm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17575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06-13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房间隔穿刺针</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90*14*1.5cm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4030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06-14</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圈套器</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37.5*27.5cm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06-15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左心耳封堵器</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43*32.5*3cm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51000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06-16</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导引系统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100*5.5*3cm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9000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restart"/>
            <w:tcBorders>
              <w:tl2br w:val="nil"/>
              <w:tr2bl w:val="nil"/>
            </w:tcBorders>
            <w:noWrap/>
            <w:vAlign w:val="center"/>
          </w:tcPr>
          <w:p>
            <w:pPr>
              <w:spacing w:line="240" w:lineRule="exact"/>
              <w:jc w:val="left"/>
            </w:pPr>
          </w:p>
          <w:p>
            <w:pPr>
              <w:pStyle w:val="2"/>
            </w:pPr>
          </w:p>
          <w:p>
            <w:pPr>
              <w:pStyle w:val="9"/>
            </w:pPr>
          </w:p>
          <w:p/>
          <w:p>
            <w:pPr>
              <w:pStyle w:val="2"/>
              <w:rPr>
                <w:rFonts w:hAnsi="宋体" w:cs="宋体"/>
                <w:sz w:val="21"/>
                <w:szCs w:val="21"/>
              </w:rPr>
            </w:pPr>
            <w:r>
              <w:rPr>
                <w:rFonts w:hint="eastAsia" w:hAnsi="宋体" w:cs="宋体"/>
                <w:sz w:val="21"/>
                <w:szCs w:val="21"/>
              </w:rPr>
              <w:t>07包</w:t>
            </w:r>
          </w:p>
          <w:p>
            <w:pPr>
              <w:pStyle w:val="2"/>
            </w:pPr>
            <w:r>
              <w:rPr>
                <w:rFonts w:hint="eastAsia" w:hAnsi="宋体" w:cs="宋体"/>
                <w:sz w:val="21"/>
                <w:szCs w:val="21"/>
              </w:rPr>
              <w:t>血栓类耗材</w:t>
            </w: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07-01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PTA球囊扩张导管1</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3mm*40*75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3300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07-02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PTA球囊扩张导管2</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4mm*40*75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3300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07-03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PTA球囊扩张导管3</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8mm*80*75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4700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07-04</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带有亲水涂层的可控导丝</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0.018*300cm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845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07-05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血栓去除术装置1</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6F*120cm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20500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07-06</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血栓去除术装置2</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6F*90cm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28900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07-07</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带有推送系统的支架(TIPS支架和静脉支架)</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12/14/16mm*60/90mm*75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8721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07-08</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PTA球囊扩张导管4</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10mm*80mm*75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4700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07-09</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PTA球囊扩张导管5</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12mm*80mm*75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5200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07-10</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PTA球囊扩张导管6</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5mm*40mm*75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3300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07-11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PTA球囊扩张导管7</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6mm*40mm*75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3300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07-12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球囊扩张导管1</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14mm*40mm*75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3170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07-13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球囊扩张导管2</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16mm*40mm*75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3400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restart"/>
            <w:tcBorders>
              <w:tl2br w:val="nil"/>
              <w:tr2bl w:val="nil"/>
            </w:tcBorders>
            <w:noWrap/>
            <w:vAlign w:val="center"/>
          </w:tcPr>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p>
          <w:p>
            <w:pPr>
              <w:spacing w:line="240" w:lineRule="exact"/>
              <w:jc w:val="left"/>
              <w:rPr>
                <w:rFonts w:hAnsi="宋体" w:cs="宋体"/>
                <w:sz w:val="21"/>
                <w:szCs w:val="21"/>
              </w:rPr>
            </w:pPr>
            <w:r>
              <w:rPr>
                <w:rFonts w:hint="eastAsia" w:hAnsi="宋体" w:cs="宋体"/>
                <w:sz w:val="21"/>
                <w:szCs w:val="21"/>
              </w:rPr>
              <w:t>08包滤器类耗材</w:t>
            </w: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08-01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临时腔静脉过滤系统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滤器展开后直径：30mm±0.5mm  窗口期：≥80天</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15360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08-02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植入式给药装置专用针1</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363636"/>
                <w:sz w:val="20"/>
              </w:rPr>
              <w:t>0.9mm 20G 15mm 0.65mm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08-03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植入式给药装置及其附件</w:t>
            </w:r>
          </w:p>
        </w:tc>
        <w:tc>
          <w:tcPr>
            <w:tcW w:w="3624" w:type="dxa"/>
            <w:gridSpan w:val="2"/>
            <w:tcBorders>
              <w:tl2br w:val="nil"/>
              <w:tr2bl w:val="nil"/>
            </w:tcBorders>
            <w:noWrap/>
            <w:vAlign w:val="center"/>
          </w:tcPr>
          <w:p>
            <w:pPr>
              <w:widowControl/>
              <w:jc w:val="center"/>
              <w:textAlignment w:val="center"/>
              <w:rPr>
                <w:rFonts w:hAnsi="宋体" w:cs="宋体"/>
                <w:sz w:val="21"/>
                <w:szCs w:val="21"/>
              </w:rPr>
            </w:pPr>
            <w:r>
              <w:rPr>
                <w:rFonts w:hint="eastAsia" w:hAnsi="宋体" w:cs="宋体"/>
                <w:color w:val="000000"/>
                <w:sz w:val="20"/>
              </w:rPr>
              <w:t>小药盒、5F导管</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4200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08-04</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植入式给药装置专用针2</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防针刺伤型无损伤针20G 15MM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08-05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外周血管支架系统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支架直径6.0mm，支架长度19mm,导管有效长度140cm.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08-06</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外周动脉导丝</w:t>
            </w:r>
          </w:p>
        </w:tc>
        <w:tc>
          <w:tcPr>
            <w:tcW w:w="3624" w:type="dxa"/>
            <w:gridSpan w:val="2"/>
            <w:tcBorders>
              <w:tl2br w:val="nil"/>
              <w:tr2bl w:val="nil"/>
            </w:tcBorders>
            <w:noWrap/>
            <w:vAlign w:val="center"/>
          </w:tcPr>
          <w:p>
            <w:pPr>
              <w:widowControl/>
              <w:textAlignment w:val="center"/>
              <w:rPr>
                <w:rFonts w:hAnsi="宋体" w:cs="宋体"/>
                <w:sz w:val="21"/>
                <w:szCs w:val="21"/>
              </w:rPr>
            </w:pPr>
            <w:r>
              <w:rPr>
                <w:rFonts w:hint="eastAsia" w:hAnsi="宋体" w:cs="宋体"/>
                <w:color w:val="000000"/>
                <w:sz w:val="20"/>
              </w:rPr>
              <w:t>0.018</w:t>
            </w:r>
            <w:r>
              <w:rPr>
                <w:rStyle w:val="10"/>
              </w:rPr>
              <w:t>″</w:t>
            </w:r>
            <w:r>
              <w:rPr>
                <w:rFonts w:hint="eastAsia" w:hAnsi="宋体" w:cs="宋体"/>
                <w:color w:val="000000"/>
                <w:sz w:val="20"/>
              </w:rPr>
              <w:t>，长度300mm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1750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08-07</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自膨式镍钛合金外周血管支架系统1</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支架直径：6mm；支架长度：150mm；可用长度：135cm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21500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08-08</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外周支架系统1</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363636"/>
                <w:sz w:val="20"/>
              </w:rPr>
              <w:t>支架直径：8mm；支架长度：25mm；导管可用长度：130cm；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10158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08-09</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球囊直径4-7mm;球囊长度：20-40mm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8299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08-10</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外周扩张导管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球囊直径8.0mm，球囊长度60mm,有效长度130cm.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5800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08-11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外周支架系统2</w:t>
            </w:r>
          </w:p>
        </w:tc>
        <w:tc>
          <w:tcPr>
            <w:tcW w:w="3624" w:type="dxa"/>
            <w:gridSpan w:val="2"/>
            <w:tcBorders>
              <w:tl2br w:val="nil"/>
              <w:tr2bl w:val="nil"/>
            </w:tcBorders>
            <w:noWrap/>
            <w:vAlign w:val="center"/>
          </w:tcPr>
          <w:p>
            <w:pPr>
              <w:widowControl/>
              <w:textAlignment w:val="center"/>
              <w:rPr>
                <w:rFonts w:hAnsi="宋体" w:cs="宋体"/>
                <w:sz w:val="21"/>
                <w:szCs w:val="21"/>
              </w:rPr>
            </w:pPr>
            <w:r>
              <w:rPr>
                <w:rFonts w:hint="eastAsia" w:hAnsi="宋体" w:cs="宋体"/>
                <w:color w:val="000000"/>
                <w:sz w:val="20"/>
              </w:rPr>
              <w:t>支架直径：7-10mm</w:t>
            </w:r>
            <w:r>
              <w:rPr>
                <w:rFonts w:hint="eastAsia" w:hAnsi="宋体" w:cs="宋体"/>
                <w:color w:val="000000"/>
                <w:sz w:val="20"/>
              </w:rPr>
              <w:br w:type="textWrapping"/>
            </w:r>
            <w:r>
              <w:rPr>
                <w:rFonts w:hint="eastAsia" w:hAnsi="宋体" w:cs="宋体"/>
                <w:color w:val="000000"/>
                <w:sz w:val="20"/>
              </w:rPr>
              <w:t>支架长度：30-80mm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9770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08-12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外周球囊扩张导管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球囊直径2.0mm，球囊长度150mm,使用长度150cm.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5000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08-13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自膨式镍钛合金外周血管支架系统2</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支架直径6.0mm，支架长度120mm,可用长度135cm.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19000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08-14</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自膨式镍钛合金外周血管支架系统3</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支架直径6.0mm，支架长度80mm,可用长度135cm.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14000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08-15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植入式给药装置及其附件</w:t>
            </w:r>
          </w:p>
        </w:tc>
        <w:tc>
          <w:tcPr>
            <w:tcW w:w="3624" w:type="dxa"/>
            <w:gridSpan w:val="2"/>
            <w:tcBorders>
              <w:tl2br w:val="nil"/>
              <w:tr2bl w:val="nil"/>
            </w:tcBorders>
            <w:noWrap/>
            <w:vAlign w:val="center"/>
          </w:tcPr>
          <w:p>
            <w:pPr>
              <w:widowControl/>
              <w:textAlignment w:val="center"/>
              <w:rPr>
                <w:rFonts w:hAnsi="宋体" w:cs="宋体"/>
                <w:sz w:val="21"/>
                <w:szCs w:val="21"/>
              </w:rPr>
            </w:pPr>
            <w:r>
              <w:rPr>
                <w:rFonts w:hint="eastAsia" w:hAnsi="宋体" w:cs="宋体"/>
                <w:color w:val="000000"/>
                <w:sz w:val="20"/>
              </w:rPr>
              <w:t>前臂型药盒、5F导管</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6600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restart"/>
            <w:tcBorders>
              <w:tl2br w:val="nil"/>
              <w:tr2bl w:val="nil"/>
            </w:tcBorders>
            <w:noWrap/>
            <w:vAlign w:val="center"/>
          </w:tcPr>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r>
              <w:rPr>
                <w:rFonts w:hint="eastAsia" w:hAnsi="宋体" w:cs="宋体"/>
                <w:sz w:val="21"/>
                <w:szCs w:val="21"/>
              </w:rPr>
              <w:t>09包</w:t>
            </w:r>
          </w:p>
          <w:p>
            <w:pPr>
              <w:widowControl/>
              <w:spacing w:line="240" w:lineRule="exact"/>
              <w:jc w:val="left"/>
              <w:textAlignment w:val="center"/>
              <w:rPr>
                <w:rFonts w:hAnsi="宋体" w:cs="宋体"/>
                <w:sz w:val="21"/>
                <w:szCs w:val="21"/>
              </w:rPr>
            </w:pPr>
            <w:r>
              <w:rPr>
                <w:rFonts w:hint="eastAsia" w:hAnsi="宋体" w:cs="宋体"/>
                <w:sz w:val="21"/>
                <w:szCs w:val="21"/>
              </w:rPr>
              <w:t>外周血管</w:t>
            </w: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09-01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血管鞘组( 短鞘）</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5F，10cm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09-02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血管内造影导管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5f,125cm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09-03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明胶海绵颗粒栓塞剂</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710～1000</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瓶</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1270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09-04</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溶栓导管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4F,135cm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1680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09-05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双腔取血栓导管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4F,80cm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2650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09-06</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微导管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2.6F,125cm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09-07</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微导丝</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0.018,180cm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09-08</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超长自膨式支架系统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5mm,80mm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14000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widowControl/>
              <w:spacing w:line="240" w:lineRule="exact"/>
              <w:jc w:val="left"/>
              <w:textAlignment w:val="center"/>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09-09</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外周交换微导丝-外周导丝</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0.018,300cm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1750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09-10</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血管内造影导管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直径5Fr,长度100cm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09-11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超滑造影导丝短导丝</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外径0.035长度150CM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09-12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超滑造影导丝交换导丝</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外径0.035长度260CM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09-13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微导管1</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直径2.7Fr，有导丝，导管长度130CM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2563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09-14</w:t>
            </w:r>
          </w:p>
        </w:tc>
        <w:tc>
          <w:tcPr>
            <w:tcW w:w="3040" w:type="dxa"/>
            <w:gridSpan w:val="3"/>
            <w:tcBorders>
              <w:tl2br w:val="nil"/>
              <w:tr2bl w:val="nil"/>
            </w:tcBorders>
            <w:noWrap/>
            <w:vAlign w:val="center"/>
          </w:tcPr>
          <w:p>
            <w:pPr>
              <w:widowControl/>
              <w:jc w:val="left"/>
              <w:textAlignment w:val="center"/>
              <w:rPr>
                <w:rFonts w:hAnsi="宋体" w:cs="宋体"/>
                <w:sz w:val="22"/>
                <w:szCs w:val="22"/>
              </w:rPr>
            </w:pPr>
            <w:r>
              <w:rPr>
                <w:rFonts w:hint="eastAsia" w:hAnsi="宋体" w:cs="宋体"/>
                <w:color w:val="000000"/>
                <w:sz w:val="20"/>
              </w:rPr>
              <w:t>镍钛记忆合金食道支架</w:t>
            </w:r>
          </w:p>
        </w:tc>
        <w:tc>
          <w:tcPr>
            <w:tcW w:w="3624" w:type="dxa"/>
            <w:gridSpan w:val="2"/>
            <w:tcBorders>
              <w:tl2br w:val="nil"/>
              <w:tr2bl w:val="nil"/>
            </w:tcBorders>
            <w:noWrap/>
            <w:vAlign w:val="center"/>
          </w:tcPr>
          <w:p>
            <w:pPr>
              <w:widowControl/>
              <w:jc w:val="left"/>
              <w:textAlignment w:val="center"/>
              <w:rPr>
                <w:rFonts w:hAnsi="宋体" w:cs="宋体"/>
                <w:sz w:val="22"/>
                <w:szCs w:val="22"/>
              </w:rPr>
            </w:pPr>
            <w:r>
              <w:rPr>
                <w:rFonts w:hint="eastAsia" w:hAnsi="宋体" w:cs="宋体"/>
                <w:color w:val="000000"/>
                <w:sz w:val="20"/>
              </w:rPr>
              <w:t>直径20，长度120</w:t>
            </w:r>
          </w:p>
        </w:tc>
        <w:tc>
          <w:tcPr>
            <w:tcW w:w="636" w:type="dxa"/>
            <w:tcBorders>
              <w:tl2br w:val="nil"/>
              <w:tr2bl w:val="nil"/>
            </w:tcBorders>
            <w:noWrap/>
            <w:vAlign w:val="center"/>
          </w:tcPr>
          <w:p>
            <w:pPr>
              <w:widowControl/>
              <w:jc w:val="left"/>
              <w:textAlignment w:val="center"/>
              <w:rPr>
                <w:rFonts w:hAnsi="宋体" w:cs="宋体"/>
                <w:sz w:val="22"/>
                <w:szCs w:val="22"/>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2"/>
                <w:szCs w:val="22"/>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2"/>
                <w:szCs w:val="22"/>
              </w:rPr>
            </w:pPr>
            <w:r>
              <w:rPr>
                <w:rFonts w:hint="eastAsia" w:hAnsi="宋体" w:cs="宋体"/>
                <w:color w:val="000000"/>
                <w:sz w:val="20"/>
              </w:rPr>
              <w:t>60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3500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widowControl/>
              <w:spacing w:line="240" w:lineRule="exact"/>
              <w:jc w:val="left"/>
              <w:textAlignment w:val="center"/>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09-15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 xml:space="preserve">球囊扩张导管 </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直径14mm，长度4cm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2529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09-16</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微导管2</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直径2.7Fr，有导丝，导管长度130CM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2461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09-17</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Bantam新型膝下长球囊导管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直径2.5mm,长度150cm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4500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widowControl/>
              <w:spacing w:line="240" w:lineRule="exact"/>
              <w:jc w:val="left"/>
              <w:textAlignment w:val="center"/>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09-18</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PTA球囊扩张导管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外径：2mm；长度：150mm；操作杆长：130cm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7410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09-19</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胸主动脉覆膜支架</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近端直径：D1（mm）：34、远端直径：D2（mm）：24；覆膜段长度：L1（mm） ：60、裸段长度：L2（mm） ：20</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35700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09-20</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明胶海绵颗粒栓塞剂</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150～350</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瓶</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超长自膨式支架系统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自膨后支架直径mm:10自膨后支架长度mm:40推荐血管尺寸mm7.5-8.5可用长度（cm）:135配套鞘的尺寸Fr:6/8适用导丝(in)0.018</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8307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球囊直径:3.5mm 球囊长度:120mm 输送杆:150cm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6460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PTA扩张导管（长球囊）</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球囊直径(mm)4球囊长度(mm)120可用长度（cm）135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2835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09-24</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外周交换微导丝-外周导丝</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0.018,300cm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1980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超长自膨式支架系统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导管可用长度120cm扩张支架外径6mm扩张后支架壁厚0.25mm扩张后支架长度100mm4.5-5.5mm输送导管外径：2.0mm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80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14000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09-26</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PTA扩张导管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直径8mm，长度60mm，输送器长度135mm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2835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widowControl/>
              <w:spacing w:line="240" w:lineRule="exact"/>
              <w:jc w:val="left"/>
              <w:textAlignment w:val="center"/>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09-27</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球囊扩张导管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直径16mm，长度4cm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2529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09-28</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外周血管用导丝</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0.035,260cm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1780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09-29</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颈动脉导引鞘</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6F,90cm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09-30</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球囊压力泵</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最大压力：30bar,最大容量：20ml</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600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09-31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明胶海绵颗粒栓塞剂</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560～710</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瓶</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1220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09-32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双腔取血栓导管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4F,80cm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2600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r>
              <w:rPr>
                <w:rFonts w:hint="eastAsia" w:hAnsi="宋体" w:cs="宋体"/>
                <w:sz w:val="21"/>
                <w:szCs w:val="21"/>
              </w:rPr>
              <w:t>09-33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血管鞘组 短鞘</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直径6Fr，长度25CM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r>
              <w:rPr>
                <w:rFonts w:hint="eastAsia" w:hAnsi="宋体" w:cs="宋体"/>
                <w:sz w:val="21"/>
                <w:szCs w:val="21"/>
              </w:rPr>
              <w:t>09-34</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超长自膨式支架系统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导管可用长度80cm扩张支架外径6mm扩张后支架壁厚0.25mm扩张后支架长度100mm4.5-5.5mm输送导管外径：2.0mm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14000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r>
              <w:rPr>
                <w:rFonts w:hint="eastAsia" w:hAnsi="宋体" w:cs="宋体"/>
                <w:sz w:val="21"/>
                <w:szCs w:val="21"/>
              </w:rPr>
              <w:t>09-35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胸主动脉覆膜支架</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近端直径：D1（mm）：28、远端直径：D2（mm）：24；覆膜段长度：L1（mm） ：150、裸段长度：L2（mm） ：15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51100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09-36</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PTA扩张导管（长球囊）</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球囊直径(mm)6球囊长度(mm)200可用长度（cm）135</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2835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09-37</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超长自膨式支架系统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导管可用长度80cm扩张支架外径6mm扩张后支架壁厚0.25mm扩张后支架长度80mm4.5-5.5mm输送导管外径：2.0mm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14000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restart"/>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11包 颅内介入</w:t>
            </w: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11-01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微导管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L:135-170cm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4960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11-02</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自膨式颅内支架</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φ2.5-5.5mm  L：12-75mm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 xml:space="preserve">45000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11-03</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微导丝</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φ0.010-0.014</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否</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5260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11-04</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一次性使用Y阀套件</w:t>
            </w:r>
          </w:p>
        </w:tc>
        <w:tc>
          <w:tcPr>
            <w:tcW w:w="3624" w:type="dxa"/>
            <w:gridSpan w:val="2"/>
            <w:tcBorders>
              <w:tl2br w:val="nil"/>
              <w:tr2bl w:val="nil"/>
            </w:tcBorders>
            <w:noWrap/>
            <w:vAlign w:val="center"/>
          </w:tcPr>
          <w:p>
            <w:pPr>
              <w:jc w:val="left"/>
              <w:rPr>
                <w:rFonts w:hAnsi="宋体" w:cs="宋体"/>
                <w:sz w:val="21"/>
                <w:szCs w:val="21"/>
              </w:rPr>
            </w:pP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30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 xml:space="preserve">240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11-05</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预安装血管支架系统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φ：8-10mm  L:17-37mm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盒</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150</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 xml:space="preserve">9780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widowControl/>
              <w:spacing w:line="240" w:lineRule="exact"/>
              <w:jc w:val="left"/>
              <w:textAlignment w:val="center"/>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11-06</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颈动脉支架(单轨型)</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φ：5-9mm  L:30-50mm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jc w:val="left"/>
              <w:rPr>
                <w:rFonts w:hAnsi="宋体" w:cs="宋体"/>
                <w:sz w:val="21"/>
                <w:szCs w:val="21"/>
              </w:rPr>
            </w:pP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 xml:space="preserve">10438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11-07</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预装血管支架系统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φ：4-7mm  L:15-19mm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jc w:val="left"/>
              <w:rPr>
                <w:rFonts w:hAnsi="宋体" w:cs="宋体"/>
                <w:sz w:val="21"/>
                <w:szCs w:val="21"/>
              </w:rPr>
            </w:pP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 xml:space="preserve">10700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r>
              <w:rPr>
                <w:rFonts w:hint="eastAsia" w:hAnsi="宋体" w:cs="宋体"/>
                <w:sz w:val="21"/>
                <w:szCs w:val="21"/>
              </w:rPr>
              <w:t>11-08</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压力泵</w:t>
            </w:r>
          </w:p>
        </w:tc>
        <w:tc>
          <w:tcPr>
            <w:tcW w:w="3624" w:type="dxa"/>
            <w:gridSpan w:val="2"/>
            <w:tcBorders>
              <w:tl2br w:val="nil"/>
              <w:tr2bl w:val="nil"/>
            </w:tcBorders>
            <w:noWrap/>
            <w:vAlign w:val="center"/>
          </w:tcPr>
          <w:p>
            <w:pPr>
              <w:jc w:val="left"/>
              <w:rPr>
                <w:rFonts w:hAnsi="宋体" w:cs="宋体"/>
                <w:sz w:val="21"/>
                <w:szCs w:val="21"/>
              </w:rPr>
            </w:pP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套</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 xml:space="preserve">714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r>
              <w:rPr>
                <w:rFonts w:hint="eastAsia" w:hAnsi="宋体" w:cs="宋体"/>
                <w:sz w:val="21"/>
                <w:szCs w:val="21"/>
              </w:rPr>
              <w:t>11-09</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PTA球囊扩张导管</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φ：3-8mm  L:30mm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 xml:space="preserve">4100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p>
          <w:p>
            <w:pPr>
              <w:widowControl/>
              <w:spacing w:line="240" w:lineRule="exact"/>
              <w:jc w:val="left"/>
              <w:textAlignment w:val="center"/>
              <w:rPr>
                <w:rFonts w:hAnsi="宋体" w:cs="宋体"/>
                <w:sz w:val="21"/>
                <w:szCs w:val="21"/>
              </w:rPr>
            </w:pPr>
            <w:r>
              <w:rPr>
                <w:rFonts w:hint="eastAsia" w:hAnsi="宋体" w:cs="宋体"/>
                <w:sz w:val="21"/>
                <w:szCs w:val="21"/>
              </w:rPr>
              <w:t>11-10</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血栓保护系统</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L300cm、190cm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盒</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 xml:space="preserve">15208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11-11</w:t>
            </w:r>
          </w:p>
        </w:tc>
        <w:tc>
          <w:tcPr>
            <w:tcW w:w="3040" w:type="dxa"/>
            <w:gridSpan w:val="3"/>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 xml:space="preserve">可控导丝 </w:t>
            </w:r>
          </w:p>
        </w:tc>
        <w:tc>
          <w:tcPr>
            <w:tcW w:w="3624"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L140-200cm</w:t>
            </w:r>
          </w:p>
        </w:tc>
        <w:tc>
          <w:tcPr>
            <w:tcW w:w="636" w:type="dxa"/>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条</w:t>
            </w:r>
          </w:p>
        </w:tc>
        <w:tc>
          <w:tcPr>
            <w:tcW w:w="829" w:type="dxa"/>
            <w:gridSpan w:val="2"/>
            <w:tcBorders>
              <w:tl2br w:val="nil"/>
              <w:tr2bl w:val="nil"/>
            </w:tcBorders>
            <w:noWrap/>
            <w:vAlign w:val="center"/>
          </w:tcPr>
          <w:p>
            <w:pPr>
              <w:widowControl/>
              <w:jc w:val="left"/>
              <w:textAlignment w:val="center"/>
              <w:rPr>
                <w:rFonts w:hAnsi="宋体" w:cs="宋体"/>
                <w:sz w:val="21"/>
                <w:szCs w:val="21"/>
              </w:rPr>
            </w:pPr>
            <w:r>
              <w:rPr>
                <w:rFonts w:hint="eastAsia" w:hAnsi="宋体" w:cs="宋体"/>
                <w:color w:val="000000"/>
                <w:sz w:val="20"/>
              </w:rPr>
              <w:t>15</w:t>
            </w:r>
          </w:p>
        </w:tc>
        <w:tc>
          <w:tcPr>
            <w:tcW w:w="1057" w:type="dxa"/>
            <w:gridSpan w:val="3"/>
            <w:tcBorders>
              <w:tl2br w:val="nil"/>
              <w:tr2bl w:val="nil"/>
            </w:tcBorders>
            <w:noWrap/>
            <w:vAlign w:val="center"/>
          </w:tcPr>
          <w:p>
            <w:pPr>
              <w:widowControl/>
              <w:jc w:val="left"/>
              <w:textAlignment w:val="center"/>
              <w:rPr>
                <w:rFonts w:hAnsi="宋体"/>
                <w:sz w:val="20"/>
                <w:szCs w:val="24"/>
              </w:rPr>
            </w:pPr>
            <w:r>
              <w:rPr>
                <w:rFonts w:hint="eastAsia" w:hAnsi="宋体" w:cs="宋体"/>
                <w:color w:val="000000"/>
                <w:sz w:val="20"/>
              </w:rPr>
              <w:t xml:space="preserve">3395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restart"/>
            <w:tcBorders>
              <w:tl2br w:val="nil"/>
              <w:tr2bl w:val="nil"/>
            </w:tcBorders>
            <w:noWrap/>
            <w:vAlign w:val="center"/>
          </w:tcPr>
          <w:p>
            <w:pPr>
              <w:spacing w:line="240" w:lineRule="exact"/>
              <w:jc w:val="left"/>
            </w:pPr>
          </w:p>
          <w:p>
            <w:pPr>
              <w:pStyle w:val="2"/>
            </w:pPr>
          </w:p>
          <w:p>
            <w:pPr>
              <w:pStyle w:val="9"/>
            </w:pPr>
          </w:p>
          <w:p>
            <w:pPr>
              <w:rPr>
                <w:rFonts w:hAnsi="宋体" w:cs="宋体"/>
                <w:sz w:val="21"/>
                <w:szCs w:val="21"/>
              </w:rPr>
            </w:pPr>
          </w:p>
          <w:p>
            <w:pPr>
              <w:rPr>
                <w:rFonts w:hAnsi="宋体" w:cs="宋体"/>
                <w:sz w:val="21"/>
                <w:szCs w:val="21"/>
              </w:rPr>
            </w:pPr>
          </w:p>
          <w:p>
            <w:pPr>
              <w:rPr>
                <w:rFonts w:hAnsi="宋体" w:cs="宋体"/>
                <w:sz w:val="21"/>
                <w:szCs w:val="21"/>
              </w:rPr>
            </w:pPr>
          </w:p>
          <w:p>
            <w:pPr>
              <w:rPr>
                <w:rFonts w:hAnsi="宋体" w:cs="宋体"/>
                <w:sz w:val="21"/>
                <w:szCs w:val="21"/>
              </w:rPr>
            </w:pPr>
          </w:p>
          <w:p>
            <w:pPr>
              <w:rPr>
                <w:rFonts w:hAnsi="宋体" w:cs="宋体"/>
                <w:sz w:val="21"/>
                <w:szCs w:val="21"/>
              </w:rPr>
            </w:pPr>
          </w:p>
          <w:p>
            <w:pPr>
              <w:rPr>
                <w:rFonts w:hAnsi="宋体" w:cs="宋体"/>
                <w:sz w:val="21"/>
                <w:szCs w:val="21"/>
              </w:rPr>
            </w:pPr>
          </w:p>
          <w:p>
            <w:r>
              <w:rPr>
                <w:rFonts w:hint="eastAsia" w:hAnsi="宋体" w:cs="宋体"/>
                <w:sz w:val="21"/>
                <w:szCs w:val="21"/>
              </w:rPr>
              <w:t>13包起搏耗材</w:t>
            </w: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13-01</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植入式心脏起搏器1</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40944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13-02</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植入式心脏起搏器2</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26000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13-03</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植入式心脏起搏器3</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49990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13-04</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植入式心脏起搏器4</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31350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13-05</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植入式心脏起搏器5</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40000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13-06</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植入式心脏起搏器6</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72000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13-07</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植入式心脏起搏器7</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34200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13-08</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植入式心脏起搏器8</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67500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13-09</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植入式心脏再同步治疗起搏器1</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61006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13-10</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植入式心脏再同步起搏器2</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79200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13-11</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植入式心脏复律除颤器1</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76540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13-12</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植入式心脏复律除颤器2</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92966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13-13</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植入式心脏再同步复律除颤器1</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100000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13-14</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植入式心脏再同步复律除颤器2</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120000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13-15</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植入式心脏再同步复律除颤器3</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台</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168000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13-16</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植入式心脏起搏电极导线1</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1998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13-17</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起搏电极导线2</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2390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442"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13-18</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起搏电极导线3</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2995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442"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13-19</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植入式心脏起搏电极导线1</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4682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442"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13-20</w:t>
            </w:r>
          </w:p>
        </w:tc>
        <w:tc>
          <w:tcPr>
            <w:tcW w:w="3040" w:type="dxa"/>
            <w:gridSpan w:val="3"/>
            <w:tcBorders>
              <w:tl2br w:val="nil"/>
              <w:tr2bl w:val="nil"/>
            </w:tcBorders>
            <w:noWrap/>
            <w:vAlign w:val="center"/>
          </w:tcPr>
          <w:p>
            <w:pPr>
              <w:widowControl/>
              <w:jc w:val="left"/>
              <w:textAlignment w:val="center"/>
              <w:rPr>
                <w:rFonts w:hint="eastAsia" w:hAnsi="宋体" w:eastAsia="宋体" w:cs="宋体"/>
                <w:color w:val="000000"/>
                <w:sz w:val="20"/>
                <w:lang w:val="en-US" w:eastAsia="zh-CN"/>
              </w:rPr>
            </w:pPr>
            <w:r>
              <w:rPr>
                <w:rFonts w:hint="eastAsia" w:hAnsi="宋体" w:cs="宋体"/>
                <w:color w:val="000000"/>
                <w:sz w:val="20"/>
              </w:rPr>
              <w:t>植入式左心室起博电极导线</w:t>
            </w:r>
            <w:r>
              <w:rPr>
                <w:rFonts w:hint="eastAsia" w:hAnsi="宋体" w:cs="宋体"/>
                <w:color w:val="000000"/>
                <w:sz w:val="20"/>
                <w:lang w:val="en-US" w:eastAsia="zh-CN"/>
              </w:rPr>
              <w:t>1</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9306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442"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13-21</w:t>
            </w:r>
          </w:p>
        </w:tc>
        <w:tc>
          <w:tcPr>
            <w:tcW w:w="3040" w:type="dxa"/>
            <w:gridSpan w:val="3"/>
            <w:tcBorders>
              <w:tl2br w:val="nil"/>
              <w:tr2bl w:val="nil"/>
            </w:tcBorders>
            <w:noWrap/>
            <w:vAlign w:val="center"/>
          </w:tcPr>
          <w:p>
            <w:pPr>
              <w:widowControl/>
              <w:jc w:val="left"/>
              <w:textAlignment w:val="center"/>
              <w:rPr>
                <w:rFonts w:hint="eastAsia" w:hAnsi="宋体" w:eastAsia="宋体" w:cs="宋体"/>
                <w:color w:val="000000"/>
                <w:sz w:val="20"/>
                <w:lang w:val="en-US" w:eastAsia="zh-CN"/>
              </w:rPr>
            </w:pPr>
            <w:r>
              <w:rPr>
                <w:rFonts w:hint="eastAsia" w:hAnsi="宋体" w:cs="宋体"/>
                <w:color w:val="000000"/>
                <w:sz w:val="20"/>
              </w:rPr>
              <w:t>植入式左心室起博电极导线</w:t>
            </w:r>
            <w:r>
              <w:rPr>
                <w:rFonts w:hint="eastAsia" w:hAnsi="宋体" w:cs="宋体"/>
                <w:color w:val="000000"/>
                <w:sz w:val="20"/>
                <w:lang w:val="en-US" w:eastAsia="zh-CN"/>
              </w:rPr>
              <w:t>2</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19615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13-22</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植入式除颤电极导线</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8272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13-23</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植入式心脏除颤电极导线</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13-24</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双极临时起搏电极导管</w:t>
            </w:r>
          </w:p>
        </w:tc>
        <w:tc>
          <w:tcPr>
            <w:tcW w:w="3624"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直型头端</w:t>
            </w: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根</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20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1179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13-25</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撕开鞘</w:t>
            </w:r>
          </w:p>
        </w:tc>
        <w:tc>
          <w:tcPr>
            <w:tcW w:w="3624"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 xml:space="preserve">导丝长度50cm  </w:t>
            </w: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60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248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Ansi="宋体" w:cs="宋体"/>
                <w:sz w:val="21"/>
                <w:szCs w:val="21"/>
              </w:rPr>
            </w:pPr>
            <w:r>
              <w:rPr>
                <w:rFonts w:hint="eastAsia" w:hAnsi="宋体" w:cs="宋体"/>
                <w:sz w:val="21"/>
                <w:szCs w:val="21"/>
              </w:rPr>
              <w:t>13-26</w:t>
            </w:r>
          </w:p>
        </w:tc>
        <w:tc>
          <w:tcPr>
            <w:tcW w:w="3040"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带止血阀导管鞘</w:t>
            </w:r>
          </w:p>
        </w:tc>
        <w:tc>
          <w:tcPr>
            <w:tcW w:w="3624" w:type="dxa"/>
            <w:gridSpan w:val="2"/>
            <w:tcBorders>
              <w:tl2br w:val="nil"/>
              <w:tr2bl w:val="nil"/>
            </w:tcBorders>
            <w:noWrap/>
            <w:vAlign w:val="center"/>
          </w:tcPr>
          <w:p>
            <w:pPr>
              <w:jc w:val="left"/>
              <w:rPr>
                <w:rFonts w:hAnsi="宋体" w:cs="宋体"/>
                <w:color w:val="000000"/>
                <w:sz w:val="20"/>
              </w:rPr>
            </w:pPr>
          </w:p>
        </w:tc>
        <w:tc>
          <w:tcPr>
            <w:tcW w:w="636"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个</w:t>
            </w:r>
          </w:p>
        </w:tc>
        <w:tc>
          <w:tcPr>
            <w:tcW w:w="829"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30</w:t>
            </w:r>
          </w:p>
        </w:tc>
        <w:tc>
          <w:tcPr>
            <w:tcW w:w="1057"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157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13-27</w:t>
            </w:r>
          </w:p>
        </w:tc>
        <w:tc>
          <w:tcPr>
            <w:tcW w:w="3040" w:type="dxa"/>
            <w:gridSpan w:val="3"/>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植入式心脏起搏器</w:t>
            </w:r>
          </w:p>
        </w:tc>
        <w:tc>
          <w:tcPr>
            <w:tcW w:w="3624" w:type="dxa"/>
            <w:gridSpan w:val="2"/>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44.7mm*47.9mm*7.5m</w:t>
            </w:r>
          </w:p>
        </w:tc>
        <w:tc>
          <w:tcPr>
            <w:tcW w:w="636"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台</w:t>
            </w:r>
          </w:p>
        </w:tc>
        <w:tc>
          <w:tcPr>
            <w:tcW w:w="829"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9</w:t>
            </w:r>
          </w:p>
        </w:tc>
        <w:tc>
          <w:tcPr>
            <w:tcW w:w="1057" w:type="dxa"/>
            <w:gridSpan w:val="3"/>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31900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13-28</w:t>
            </w:r>
          </w:p>
        </w:tc>
        <w:tc>
          <w:tcPr>
            <w:tcW w:w="3040" w:type="dxa"/>
            <w:gridSpan w:val="3"/>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植入式再同步治疗心律转复除颤器</w:t>
            </w:r>
          </w:p>
        </w:tc>
        <w:tc>
          <w:tcPr>
            <w:tcW w:w="3624" w:type="dxa"/>
            <w:gridSpan w:val="2"/>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 xml:space="preserve">74mm*51mm*13mm </w:t>
            </w:r>
          </w:p>
        </w:tc>
        <w:tc>
          <w:tcPr>
            <w:tcW w:w="636"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台</w:t>
            </w:r>
          </w:p>
        </w:tc>
        <w:tc>
          <w:tcPr>
            <w:tcW w:w="829"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3"/>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95000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13-29</w:t>
            </w:r>
          </w:p>
        </w:tc>
        <w:tc>
          <w:tcPr>
            <w:tcW w:w="3040" w:type="dxa"/>
            <w:gridSpan w:val="3"/>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植入式心电事件监测器</w:t>
            </w:r>
          </w:p>
        </w:tc>
        <w:tc>
          <w:tcPr>
            <w:tcW w:w="3624" w:type="dxa"/>
            <w:gridSpan w:val="2"/>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4.5cm*0.7cm</w:t>
            </w:r>
          </w:p>
        </w:tc>
        <w:tc>
          <w:tcPr>
            <w:tcW w:w="636"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台</w:t>
            </w:r>
          </w:p>
        </w:tc>
        <w:tc>
          <w:tcPr>
            <w:tcW w:w="829"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3"/>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19900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13-30</w:t>
            </w:r>
          </w:p>
        </w:tc>
        <w:tc>
          <w:tcPr>
            <w:tcW w:w="3040" w:type="dxa"/>
            <w:gridSpan w:val="3"/>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电极传送鞘管系统(带止血阀和灌注口)(电极传送鞘管系统-撕开鞘)</w:t>
            </w:r>
          </w:p>
        </w:tc>
        <w:tc>
          <w:tcPr>
            <w:tcW w:w="3624" w:type="dxa"/>
            <w:gridSpan w:val="2"/>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直径8F</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扩张管长度20cm</w:t>
            </w:r>
          </w:p>
        </w:tc>
        <w:tc>
          <w:tcPr>
            <w:tcW w:w="636"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个</w:t>
            </w:r>
          </w:p>
        </w:tc>
        <w:tc>
          <w:tcPr>
            <w:tcW w:w="829"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150</w:t>
            </w:r>
          </w:p>
        </w:tc>
        <w:tc>
          <w:tcPr>
            <w:tcW w:w="1057" w:type="dxa"/>
            <w:gridSpan w:val="3"/>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402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919" w:type="dxa"/>
          <w:trHeight w:val="23" w:hRule="atLeast"/>
        </w:trPr>
        <w:tc>
          <w:tcPr>
            <w:tcW w:w="764" w:type="dxa"/>
            <w:vMerge w:val="continue"/>
            <w:tcBorders>
              <w:tl2br w:val="nil"/>
              <w:tr2bl w:val="nil"/>
            </w:tcBorders>
            <w:noWrap/>
            <w:vAlign w:val="center"/>
          </w:tcPr>
          <w:p>
            <w:pPr>
              <w:spacing w:line="240" w:lineRule="exact"/>
              <w:jc w:val="left"/>
              <w:rPr>
                <w:rFonts w:hAnsi="宋体" w:cs="宋体"/>
                <w:sz w:val="21"/>
                <w:szCs w:val="21"/>
              </w:rPr>
            </w:pPr>
          </w:p>
        </w:tc>
        <w:tc>
          <w:tcPr>
            <w:tcW w:w="750" w:type="dxa"/>
            <w:gridSpan w:val="2"/>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13-31</w:t>
            </w:r>
          </w:p>
        </w:tc>
        <w:tc>
          <w:tcPr>
            <w:tcW w:w="3040" w:type="dxa"/>
            <w:gridSpan w:val="3"/>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起搏电极导线</w:t>
            </w:r>
            <w:r>
              <w:rPr>
                <w:rFonts w:hint="eastAsia" w:hAnsi="宋体" w:cs="宋体"/>
                <w:i w:val="0"/>
                <w:iCs w:val="0"/>
                <w:color w:val="000000"/>
                <w:kern w:val="0"/>
                <w:sz w:val="20"/>
                <w:szCs w:val="20"/>
                <w:u w:val="none"/>
                <w:lang w:val="en-US" w:eastAsia="zh-CN" w:bidi="ar"/>
              </w:rPr>
              <w:t>1</w:t>
            </w:r>
          </w:p>
        </w:tc>
        <w:tc>
          <w:tcPr>
            <w:tcW w:w="3624" w:type="dxa"/>
            <w:gridSpan w:val="2"/>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固定方式：螺旋</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长度:52CM/58CM</w:t>
            </w:r>
          </w:p>
        </w:tc>
        <w:tc>
          <w:tcPr>
            <w:tcW w:w="636"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90</w:t>
            </w:r>
          </w:p>
        </w:tc>
        <w:tc>
          <w:tcPr>
            <w:tcW w:w="1057" w:type="dxa"/>
            <w:gridSpan w:val="3"/>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4531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restart"/>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13-32</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起搏电极导线</w:t>
            </w:r>
            <w:r>
              <w:rPr>
                <w:rFonts w:hint="eastAsia" w:hAnsi="宋体" w:cs="宋体"/>
                <w:i w:val="0"/>
                <w:iCs w:val="0"/>
                <w:color w:val="000000"/>
                <w:kern w:val="0"/>
                <w:sz w:val="20"/>
                <w:szCs w:val="20"/>
                <w:u w:val="none"/>
                <w:lang w:val="en-US" w:eastAsia="zh-CN" w:bidi="ar"/>
              </w:rPr>
              <w:t>2</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固定方式：挂钩</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长度:43CM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6</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2722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13-33</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除颤电极导线</w:t>
            </w:r>
            <w:r>
              <w:rPr>
                <w:rFonts w:hint="eastAsia" w:hAnsi="宋体" w:cs="宋体"/>
                <w:i w:val="0"/>
                <w:iCs w:val="0"/>
                <w:color w:val="000000"/>
                <w:kern w:val="0"/>
                <w:sz w:val="20"/>
                <w:szCs w:val="20"/>
                <w:u w:val="none"/>
                <w:lang w:val="en-US" w:eastAsia="zh-CN" w:bidi="ar"/>
              </w:rPr>
              <w:t>1</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长度：49cm/55cm/62cm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11900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13-34</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静脉造影球囊导管</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 xml:space="preserve">输送器度：小于120cm   </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2570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13-35</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除颤电极导线</w:t>
            </w:r>
            <w:r>
              <w:rPr>
                <w:rFonts w:hint="eastAsia" w:hAnsi="宋体" w:cs="宋体"/>
                <w:i w:val="0"/>
                <w:iCs w:val="0"/>
                <w:color w:val="000000"/>
                <w:kern w:val="0"/>
                <w:sz w:val="20"/>
                <w:szCs w:val="20"/>
                <w:u w:val="none"/>
                <w:lang w:val="en-US" w:eastAsia="zh-CN" w:bidi="ar"/>
              </w:rPr>
              <w:t>2</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长度：49cm/55cm/62cm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10450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13-36</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植入式左心室起搏电极导线</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类型：四极电极</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长度：20-110cm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19000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13-37</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左室导线</w:t>
            </w:r>
            <w:r>
              <w:rPr>
                <w:rFonts w:hint="eastAsia" w:hAnsi="宋体" w:cs="宋体"/>
                <w:i w:val="0"/>
                <w:iCs w:val="0"/>
                <w:color w:val="000000"/>
                <w:kern w:val="0"/>
                <w:sz w:val="20"/>
                <w:szCs w:val="20"/>
                <w:u w:val="none"/>
                <w:lang w:val="en-US" w:eastAsia="zh-CN" w:bidi="ar"/>
              </w:rPr>
              <w:t>1</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类型：双极</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 xml:space="preserve">长度：20-110cm  </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11742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13-38</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左室导线</w:t>
            </w:r>
            <w:r>
              <w:rPr>
                <w:rFonts w:hint="eastAsia" w:hAnsi="宋体" w:cs="宋体"/>
                <w:i w:val="0"/>
                <w:iCs w:val="0"/>
                <w:color w:val="000000"/>
                <w:kern w:val="0"/>
                <w:sz w:val="20"/>
                <w:szCs w:val="20"/>
                <w:u w:val="none"/>
                <w:lang w:val="en-US" w:eastAsia="zh-CN" w:bidi="ar"/>
              </w:rPr>
              <w:t>2</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类型：双极电极</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 xml:space="preserve">长度：20-110cm  </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13260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13-39</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左室导线</w:t>
            </w:r>
            <w:r>
              <w:rPr>
                <w:rFonts w:hint="eastAsia" w:hAnsi="宋体" w:cs="宋体"/>
                <w:i w:val="0"/>
                <w:iCs w:val="0"/>
                <w:color w:val="000000"/>
                <w:kern w:val="0"/>
                <w:sz w:val="20"/>
                <w:szCs w:val="20"/>
                <w:u w:val="none"/>
                <w:lang w:val="en-US" w:eastAsia="zh-CN" w:bidi="ar"/>
              </w:rPr>
              <w:t>3</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类型：双极</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 xml:space="preserve">长度：20-110cm  </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13353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13-40</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左心部传送导管系统</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类型：输送鞘管</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长度：80-130cm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2500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13-41</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传送导管系统</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类型：输送鞘管</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长度：80-130cm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2600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13-42</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传送导管</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类型：输送鞘管</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长度：40-100cm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套</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9</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950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13-43</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植入式心脏起搏电极导线</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固定方式：不可收缩的螺旋式                  长度：20-110厘米</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类型：双极</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套</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9</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3712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13-44</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导管切开刀</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包装：独立包装</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长度：小于10cm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套</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9</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13-45</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经导管植入式无导线起搏系统</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 xml:space="preserve">长：25.9mm </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体积：1cm</w:t>
            </w:r>
            <w:r>
              <w:rPr>
                <w:rFonts w:hint="eastAsia" w:ascii="宋体" w:hAnsi="宋体" w:eastAsia="宋体" w:cs="宋体"/>
                <w:i w:val="0"/>
                <w:iCs w:val="0"/>
                <w:color w:val="000000"/>
                <w:kern w:val="0"/>
                <w:sz w:val="20"/>
                <w:szCs w:val="20"/>
                <w:u w:val="none"/>
                <w:vertAlign w:val="superscript"/>
                <w:lang w:val="en-US" w:eastAsia="zh-CN" w:bidi="ar"/>
              </w:rPr>
              <w:t>3</w:t>
            </w:r>
            <w:r>
              <w:rPr>
                <w:rFonts w:hint="eastAsia" w:ascii="宋体" w:hAnsi="宋体" w:eastAsia="宋体" w:cs="宋体"/>
                <w:i w:val="0"/>
                <w:iCs w:val="0"/>
                <w:color w:val="000000"/>
                <w:kern w:val="0"/>
                <w:sz w:val="20"/>
                <w:szCs w:val="20"/>
                <w:u w:val="none"/>
                <w:lang w:val="en-US" w:eastAsia="zh-CN" w:bidi="ar"/>
              </w:rPr>
              <w:t xml:space="preserve">     </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台</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158000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13-46</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传送鞘管</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类型：输送鞘管</w:t>
            </w:r>
            <w:r>
              <w:rPr>
                <w:rFonts w:hint="eastAsia"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长度：40-130cm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是</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根</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8000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13-47</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植入式心脏起搏器</w:t>
            </w:r>
            <w:r>
              <w:rPr>
                <w:rFonts w:hint="eastAsia" w:hAnsi="宋体" w:cs="宋体"/>
                <w:i w:val="0"/>
                <w:iCs w:val="0"/>
                <w:color w:val="000000"/>
                <w:kern w:val="0"/>
                <w:sz w:val="20"/>
                <w:szCs w:val="20"/>
                <w:u w:val="none"/>
                <w:lang w:val="en-US" w:eastAsia="zh-CN" w:bidi="ar"/>
              </w:rPr>
              <w:t>1</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40.2mm*42.9mm*7.5mm</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否</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台</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14706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13-48</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植入式心脏起搏器</w:t>
            </w:r>
            <w:r>
              <w:rPr>
                <w:rFonts w:hint="eastAsia" w:hAnsi="宋体" w:cs="宋体"/>
                <w:i w:val="0"/>
                <w:iCs w:val="0"/>
                <w:color w:val="000000"/>
                <w:kern w:val="0"/>
                <w:sz w:val="20"/>
                <w:szCs w:val="20"/>
                <w:u w:val="none"/>
                <w:lang w:val="en-US" w:eastAsia="zh-CN" w:bidi="ar"/>
              </w:rPr>
              <w:t>2</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 xml:space="preserve">44.7m*7.9mm*7.5mm </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否</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台</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27854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13-49</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植入式心脏起搏器</w:t>
            </w:r>
            <w:r>
              <w:rPr>
                <w:rFonts w:hint="eastAsia" w:hAnsi="宋体" w:cs="宋体"/>
                <w:i w:val="0"/>
                <w:iCs w:val="0"/>
                <w:color w:val="000000"/>
                <w:kern w:val="0"/>
                <w:sz w:val="20"/>
                <w:szCs w:val="20"/>
                <w:u w:val="none"/>
                <w:lang w:val="en-US" w:eastAsia="zh-CN" w:bidi="ar"/>
              </w:rPr>
              <w:t>3</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 xml:space="preserve">40.2mm*42.9mm*7.5mm  </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否</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台</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19087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13-50</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植入式心脏起搏器</w:t>
            </w:r>
            <w:r>
              <w:rPr>
                <w:rFonts w:hint="eastAsia" w:hAnsi="宋体" w:cs="宋体"/>
                <w:i w:val="0"/>
                <w:iCs w:val="0"/>
                <w:color w:val="000000"/>
                <w:kern w:val="0"/>
                <w:sz w:val="20"/>
                <w:szCs w:val="20"/>
                <w:u w:val="none"/>
                <w:lang w:val="en-US" w:eastAsia="zh-CN" w:bidi="ar"/>
              </w:rPr>
              <w:t>4</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 xml:space="preserve">44.7mm*47.9mm*7.5mm  </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否</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台</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45295.9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vAlign w:val="center"/>
          </w:tcPr>
          <w:p>
            <w:pPr>
              <w:widowControl/>
              <w:spacing w:line="240" w:lineRule="exact"/>
              <w:jc w:val="left"/>
              <w:textAlignment w:val="center"/>
              <w:rPr>
                <w:rFonts w:hint="default" w:hAnsi="宋体" w:eastAsia="宋体" w:cs="宋体"/>
                <w:sz w:val="21"/>
                <w:szCs w:val="21"/>
                <w:lang w:val="en-US" w:eastAsia="zh-CN"/>
              </w:rPr>
            </w:pPr>
            <w:r>
              <w:rPr>
                <w:rFonts w:hint="eastAsia" w:hAnsi="宋体" w:cs="宋体"/>
                <w:sz w:val="21"/>
                <w:szCs w:val="21"/>
                <w:lang w:val="en-US" w:eastAsia="zh-CN"/>
              </w:rPr>
              <w:t>13-51</w:t>
            </w:r>
          </w:p>
        </w:tc>
        <w:tc>
          <w:tcPr>
            <w:tcW w:w="3040" w:type="dxa"/>
            <w:gridSpan w:val="2"/>
            <w:tcBorders>
              <w:tl2br w:val="nil"/>
              <w:tr2bl w:val="nil"/>
            </w:tcBorders>
            <w:noWrap/>
            <w:vAlign w:val="center"/>
          </w:tcPr>
          <w:p>
            <w:pPr>
              <w:keepNext w:val="0"/>
              <w:keepLines w:val="0"/>
              <w:widowControl/>
              <w:suppressLineNumbers w:val="0"/>
              <w:jc w:val="left"/>
              <w:textAlignment w:val="center"/>
              <w:rPr>
                <w:rFonts w:hint="default" w:hAnsi="宋体" w:cs="宋体"/>
                <w:color w:val="000000"/>
                <w:sz w:val="20"/>
                <w:lang w:val="en-US"/>
              </w:rPr>
            </w:pPr>
            <w:r>
              <w:rPr>
                <w:rFonts w:hint="eastAsia" w:ascii="宋体" w:hAnsi="宋体" w:eastAsia="宋体" w:cs="宋体"/>
                <w:i w:val="0"/>
                <w:iCs w:val="0"/>
                <w:color w:val="000000"/>
                <w:kern w:val="0"/>
                <w:sz w:val="20"/>
                <w:szCs w:val="20"/>
                <w:u w:val="none"/>
                <w:lang w:val="en-US" w:eastAsia="zh-CN" w:bidi="ar"/>
              </w:rPr>
              <w:t>植入式心脏起搏器</w:t>
            </w:r>
            <w:r>
              <w:rPr>
                <w:rFonts w:hint="eastAsia" w:hAnsi="宋体" w:cs="宋体"/>
                <w:i w:val="0"/>
                <w:iCs w:val="0"/>
                <w:color w:val="000000"/>
                <w:kern w:val="0"/>
                <w:sz w:val="20"/>
                <w:szCs w:val="20"/>
                <w:u w:val="none"/>
                <w:lang w:val="en-US" w:eastAsia="zh-CN" w:bidi="ar"/>
              </w:rPr>
              <w:t>5</w:t>
            </w:r>
          </w:p>
        </w:tc>
        <w:tc>
          <w:tcPr>
            <w:tcW w:w="3624" w:type="dxa"/>
            <w:gridSpan w:val="3"/>
            <w:tcBorders>
              <w:tl2br w:val="nil"/>
              <w:tr2bl w:val="nil"/>
            </w:tcBorders>
            <w:noWrap/>
            <w:vAlign w:val="center"/>
          </w:tcPr>
          <w:p>
            <w:pPr>
              <w:keepNext w:val="0"/>
              <w:keepLines w:val="0"/>
              <w:widowControl/>
              <w:suppressLineNumbers w:val="0"/>
              <w:jc w:val="left"/>
              <w:textAlignment w:val="center"/>
              <w:rPr>
                <w:rFonts w:hAnsi="宋体" w:cs="宋体"/>
                <w:color w:val="000000"/>
                <w:sz w:val="20"/>
              </w:rPr>
            </w:pPr>
            <w:r>
              <w:rPr>
                <w:rFonts w:hint="eastAsia" w:ascii="宋体" w:hAnsi="宋体" w:eastAsia="宋体" w:cs="宋体"/>
                <w:i w:val="0"/>
                <w:iCs w:val="0"/>
                <w:color w:val="000000"/>
                <w:kern w:val="0"/>
                <w:sz w:val="20"/>
                <w:szCs w:val="20"/>
                <w:u w:val="none"/>
                <w:lang w:val="en-US" w:eastAsia="zh-CN" w:bidi="ar"/>
              </w:rPr>
              <w:t xml:space="preserve">44.7mm*47.9mm*7.5mm  </w:t>
            </w:r>
          </w:p>
        </w:tc>
        <w:tc>
          <w:tcPr>
            <w:tcW w:w="63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否</w:t>
            </w:r>
          </w:p>
        </w:tc>
        <w:tc>
          <w:tcPr>
            <w:tcW w:w="496"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台</w:t>
            </w:r>
          </w:p>
        </w:tc>
        <w:tc>
          <w:tcPr>
            <w:tcW w:w="829" w:type="dxa"/>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3</w:t>
            </w:r>
          </w:p>
        </w:tc>
        <w:tc>
          <w:tcPr>
            <w:tcW w:w="1057" w:type="dxa"/>
            <w:gridSpan w:val="2"/>
            <w:tcBorders>
              <w:tl2br w:val="nil"/>
              <w:tr2bl w:val="nil"/>
            </w:tcBorders>
            <w:noWrap/>
            <w:vAlign w:val="center"/>
          </w:tcPr>
          <w:p>
            <w:pPr>
              <w:keepNext w:val="0"/>
              <w:keepLines w:val="0"/>
              <w:widowControl/>
              <w:suppressLineNumbers w:val="0"/>
              <w:jc w:val="left"/>
              <w:textAlignment w:val="center"/>
              <w:rPr>
                <w:rFonts w:hint="eastAsia" w:hAnsi="宋体" w:cs="宋体"/>
                <w:color w:val="000000"/>
                <w:sz w:val="20"/>
              </w:rPr>
            </w:pPr>
            <w:r>
              <w:rPr>
                <w:rFonts w:hint="eastAsia" w:ascii="宋体" w:hAnsi="宋体" w:eastAsia="宋体" w:cs="宋体"/>
                <w:i w:val="0"/>
                <w:iCs w:val="0"/>
                <w:color w:val="000000"/>
                <w:kern w:val="0"/>
                <w:sz w:val="20"/>
                <w:szCs w:val="20"/>
                <w:u w:val="none"/>
                <w:lang w:val="en-US" w:eastAsia="zh-CN" w:bidi="ar"/>
              </w:rPr>
              <w:t>47890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restart"/>
            <w:tcBorders>
              <w:tl2br w:val="nil"/>
              <w:tr2bl w:val="nil"/>
            </w:tcBorders>
            <w:noWrap/>
            <w:vAlign w:val="center"/>
          </w:tcPr>
          <w:p>
            <w:pPr>
              <w:spacing w:line="240" w:lineRule="exact"/>
              <w:jc w:val="left"/>
              <w:rPr>
                <w:rFonts w:hAnsi="宋体" w:cs="宋体"/>
                <w:sz w:val="21"/>
                <w:szCs w:val="21"/>
              </w:rPr>
            </w:pPr>
            <w:r>
              <w:rPr>
                <w:rFonts w:hint="eastAsia" w:hAnsi="宋体" w:cs="宋体"/>
                <w:sz w:val="21"/>
                <w:szCs w:val="21"/>
              </w:rPr>
              <w:t>14包脑动脉瘤夹</w:t>
            </w:r>
          </w:p>
        </w:tc>
        <w:tc>
          <w:tcPr>
            <w:tcW w:w="750" w:type="dxa"/>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14-01</w:t>
            </w:r>
          </w:p>
        </w:tc>
        <w:tc>
          <w:tcPr>
            <w:tcW w:w="3040"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钛合金脑动脉瘤夹1</w:t>
            </w:r>
          </w:p>
        </w:tc>
        <w:tc>
          <w:tcPr>
            <w:tcW w:w="3624"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标准型</w:t>
            </w:r>
          </w:p>
        </w:tc>
        <w:tc>
          <w:tcPr>
            <w:tcW w:w="63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个</w:t>
            </w:r>
          </w:p>
        </w:tc>
        <w:tc>
          <w:tcPr>
            <w:tcW w:w="829"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15</w:t>
            </w:r>
          </w:p>
        </w:tc>
        <w:tc>
          <w:tcPr>
            <w:tcW w:w="1057"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2590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14-02</w:t>
            </w:r>
          </w:p>
        </w:tc>
        <w:tc>
          <w:tcPr>
            <w:tcW w:w="3040"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钛合金脑动脉瘤夹2</w:t>
            </w:r>
          </w:p>
        </w:tc>
        <w:tc>
          <w:tcPr>
            <w:tcW w:w="3624"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迷你型</w:t>
            </w:r>
          </w:p>
        </w:tc>
        <w:tc>
          <w:tcPr>
            <w:tcW w:w="63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个</w:t>
            </w:r>
          </w:p>
        </w:tc>
        <w:tc>
          <w:tcPr>
            <w:tcW w:w="829"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15</w:t>
            </w:r>
          </w:p>
        </w:tc>
        <w:tc>
          <w:tcPr>
            <w:tcW w:w="1057"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2590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2"/>
          <w:wBefore w:w="919" w:type="dxa"/>
          <w:trHeight w:val="23" w:hRule="atLeast"/>
        </w:trPr>
        <w:tc>
          <w:tcPr>
            <w:tcW w:w="764" w:type="dxa"/>
            <w:gridSpan w:val="2"/>
            <w:vMerge w:val="continue"/>
            <w:tcBorders>
              <w:tl2br w:val="nil"/>
              <w:tr2bl w:val="nil"/>
            </w:tcBorders>
            <w:noWrap/>
            <w:vAlign w:val="center"/>
          </w:tcPr>
          <w:p>
            <w:pPr>
              <w:spacing w:line="240" w:lineRule="exact"/>
              <w:jc w:val="left"/>
              <w:rPr>
                <w:rFonts w:hAnsi="宋体" w:cs="宋体"/>
                <w:sz w:val="21"/>
                <w:szCs w:val="21"/>
              </w:rPr>
            </w:pPr>
          </w:p>
        </w:tc>
        <w:tc>
          <w:tcPr>
            <w:tcW w:w="750" w:type="dxa"/>
            <w:tcBorders>
              <w:tl2br w:val="nil"/>
              <w:tr2bl w:val="nil"/>
            </w:tcBorders>
            <w:noWrap/>
          </w:tcPr>
          <w:p>
            <w:pPr>
              <w:widowControl/>
              <w:spacing w:line="240" w:lineRule="exact"/>
              <w:jc w:val="left"/>
              <w:textAlignment w:val="center"/>
              <w:rPr>
                <w:rFonts w:hAnsi="宋体" w:cs="宋体"/>
                <w:sz w:val="21"/>
                <w:szCs w:val="21"/>
              </w:rPr>
            </w:pPr>
            <w:r>
              <w:rPr>
                <w:rFonts w:hint="eastAsia" w:hAnsi="宋体" w:cs="宋体"/>
                <w:sz w:val="21"/>
                <w:szCs w:val="21"/>
              </w:rPr>
              <w:t>14-03</w:t>
            </w:r>
          </w:p>
        </w:tc>
        <w:tc>
          <w:tcPr>
            <w:tcW w:w="3040"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钛合金脑动脉瘤夹3</w:t>
            </w:r>
          </w:p>
        </w:tc>
        <w:tc>
          <w:tcPr>
            <w:tcW w:w="3624" w:type="dxa"/>
            <w:gridSpan w:val="3"/>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特殊型</w:t>
            </w:r>
          </w:p>
        </w:tc>
        <w:tc>
          <w:tcPr>
            <w:tcW w:w="63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是</w:t>
            </w:r>
          </w:p>
        </w:tc>
        <w:tc>
          <w:tcPr>
            <w:tcW w:w="496"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个</w:t>
            </w:r>
          </w:p>
        </w:tc>
        <w:tc>
          <w:tcPr>
            <w:tcW w:w="829" w:type="dxa"/>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15</w:t>
            </w:r>
          </w:p>
        </w:tc>
        <w:tc>
          <w:tcPr>
            <w:tcW w:w="1057" w:type="dxa"/>
            <w:gridSpan w:val="2"/>
            <w:tcBorders>
              <w:tl2br w:val="nil"/>
              <w:tr2bl w:val="nil"/>
            </w:tcBorders>
            <w:noWrap/>
            <w:vAlign w:val="center"/>
          </w:tcPr>
          <w:p>
            <w:pPr>
              <w:widowControl/>
              <w:jc w:val="left"/>
              <w:textAlignment w:val="center"/>
              <w:rPr>
                <w:rFonts w:hAnsi="宋体" w:cs="宋体"/>
                <w:color w:val="000000"/>
                <w:sz w:val="20"/>
              </w:rPr>
            </w:pPr>
            <w:r>
              <w:rPr>
                <w:rFonts w:hint="eastAsia" w:hAnsi="宋体" w:cs="宋体"/>
                <w:color w:val="000000"/>
                <w:sz w:val="20"/>
              </w:rPr>
              <w:t>2764</w:t>
            </w:r>
          </w:p>
        </w:tc>
      </w:tr>
    </w:tbl>
    <w:p>
      <w:pPr>
        <w:pStyle w:val="6"/>
        <w:wordWrap w:val="0"/>
        <w:adjustRightInd w:val="0"/>
        <w:snapToGrid w:val="0"/>
        <w:spacing w:before="0" w:beforeAutospacing="0" w:after="0" w:afterAutospacing="0" w:line="276" w:lineRule="auto"/>
      </w:pPr>
      <w:r>
        <w:rPr>
          <w:rFonts w:hint="eastAsia" w:cs="宋体"/>
          <w:b/>
          <w:sz w:val="24"/>
          <w:szCs w:val="24"/>
        </w:rPr>
        <w:t>注：本次的“预采购数量”只作为本项目采购报价使用的数量，最终结算以实际使用数量为准。</w:t>
      </w:r>
    </w:p>
    <w:p>
      <w:pPr>
        <w:pStyle w:val="2"/>
        <w:outlineLvl w:val="1"/>
        <w:rPr>
          <w:b/>
          <w:bCs/>
          <w:sz w:val="28"/>
          <w:szCs w:val="16"/>
        </w:rPr>
      </w:pPr>
      <w:r>
        <w:rPr>
          <w:rFonts w:hint="eastAsia"/>
          <w:b/>
          <w:bCs/>
          <w:sz w:val="28"/>
          <w:szCs w:val="16"/>
        </w:rPr>
        <w:t>二、商务条款</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1.</w:t>
      </w:r>
      <w:r>
        <w:rPr>
          <w:rFonts w:hint="eastAsia" w:cs="宋体"/>
          <w:b/>
          <w:bCs/>
          <w:sz w:val="24"/>
          <w:szCs w:val="24"/>
        </w:rPr>
        <w:t>服务期</w:t>
      </w:r>
      <w:r>
        <w:rPr>
          <w:rFonts w:hint="eastAsia" w:cs="宋体"/>
          <w:sz w:val="24"/>
          <w:szCs w:val="24"/>
        </w:rPr>
        <w:t>：合同签订后3年。</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1.1中标之日起（以中标通知书日期为准），五个工作日内到泸州市中医医院综合采购部办理相关合同签订手续，须带齐中标通知书、廉洁承诺书、履约保证金银行回执单或担保函、公司（厂家）相关资质和产品授权证书等（参照《医疗器械归档资料收集清单》），若缺失或未在规定时间内办理者，采购人有权取消其配送资格,造成的后果由中标人自行负责。</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1.2合同签订后一个月为试用期。试用期内如果连续两次相同质量问题发生并整改不到位的，采购人有权取消第一名的成交资格。</w:t>
      </w:r>
    </w:p>
    <w:p>
      <w:pPr>
        <w:pStyle w:val="6"/>
        <w:wordWrap w:val="0"/>
        <w:adjustRightInd w:val="0"/>
        <w:snapToGrid w:val="0"/>
        <w:spacing w:before="0" w:beforeAutospacing="0" w:after="0" w:afterAutospacing="0" w:line="276" w:lineRule="auto"/>
        <w:rPr>
          <w:rFonts w:cs="宋体"/>
          <w:sz w:val="24"/>
          <w:szCs w:val="24"/>
        </w:rPr>
      </w:pPr>
      <w:r>
        <w:rPr>
          <w:rFonts w:hint="eastAsia" w:cs="宋体"/>
          <w:b/>
          <w:bCs/>
          <w:sz w:val="24"/>
          <w:szCs w:val="24"/>
        </w:rPr>
        <w:t>2.服务及交货地点：</w:t>
      </w:r>
      <w:r>
        <w:rPr>
          <w:rFonts w:hint="eastAsia" w:cs="宋体"/>
          <w:sz w:val="24"/>
          <w:szCs w:val="24"/>
        </w:rPr>
        <w:t>泸州市中医医院指定地点。</w:t>
      </w:r>
    </w:p>
    <w:p>
      <w:pPr>
        <w:pStyle w:val="6"/>
        <w:wordWrap w:val="0"/>
        <w:adjustRightInd w:val="0"/>
        <w:snapToGrid w:val="0"/>
        <w:spacing w:before="0" w:beforeAutospacing="0" w:after="0" w:afterAutospacing="0" w:line="276" w:lineRule="auto"/>
        <w:rPr>
          <w:rFonts w:cs="宋体"/>
          <w:b/>
          <w:bCs/>
          <w:sz w:val="24"/>
          <w:szCs w:val="24"/>
        </w:rPr>
      </w:pPr>
      <w:r>
        <w:rPr>
          <w:rFonts w:hint="eastAsia" w:cs="宋体"/>
          <w:b/>
          <w:bCs/>
          <w:sz w:val="24"/>
          <w:szCs w:val="24"/>
        </w:rPr>
        <w:t>3.付款方法和条件</w:t>
      </w:r>
      <w:r>
        <w:rPr>
          <w:rFonts w:hint="eastAsia" w:cs="宋体"/>
          <w:sz w:val="24"/>
          <w:szCs w:val="24"/>
        </w:rPr>
        <w:t>：</w:t>
      </w:r>
      <w:r>
        <w:rPr>
          <w:rFonts w:hint="eastAsia" w:cs="宋体"/>
          <w:b/>
          <w:bCs/>
          <w:sz w:val="24"/>
          <w:szCs w:val="24"/>
        </w:rPr>
        <w:t>根据采购人的实际入库数量，验收合格后，在医学装备部办理入出库手续交财务科，付款周期6个月，请供应商自行核算资金利息。</w:t>
      </w:r>
    </w:p>
    <w:p>
      <w:pPr>
        <w:pStyle w:val="6"/>
        <w:wordWrap w:val="0"/>
        <w:adjustRightInd w:val="0"/>
        <w:snapToGrid w:val="0"/>
        <w:spacing w:before="0" w:beforeAutospacing="0" w:after="0" w:afterAutospacing="0" w:line="276" w:lineRule="auto"/>
        <w:rPr>
          <w:rFonts w:cs="宋体"/>
          <w:b/>
          <w:bCs/>
          <w:sz w:val="24"/>
          <w:szCs w:val="24"/>
        </w:rPr>
      </w:pPr>
      <w:r>
        <w:rPr>
          <w:rFonts w:hint="eastAsia" w:cs="宋体"/>
          <w:b/>
          <w:bCs/>
          <w:sz w:val="24"/>
          <w:szCs w:val="24"/>
        </w:rPr>
        <w:t>4.比选响应报价要求及货款结算金额：</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4.1报价要求：</w:t>
      </w:r>
      <w:r>
        <w:rPr>
          <w:rFonts w:hint="eastAsia" w:cs="宋体"/>
          <w:b/>
          <w:bCs/>
          <w:sz w:val="24"/>
          <w:szCs w:val="24"/>
        </w:rPr>
        <w:t>投标每个产品单价不得高于四川省药械集中采购及医药价格监管平台公布的“截止上月末全省医疗机构最低采购价”，同时也不得高于本项目规定的单品最高限价。否则视为无效投标。</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4.2按月动态结算，合同最终结算价格=∑单品单价*采购人实际采购数量；如果在结算单月，四川省药械集中采购及医药价格监管平台公布的“截止上月末全省医疗机构最低采购价”和“联动参考价”及“本次采购的成交单价”，取三者最低价进行结算。</w:t>
      </w:r>
    </w:p>
    <w:p>
      <w:pPr>
        <w:pStyle w:val="6"/>
        <w:wordWrap w:val="0"/>
        <w:adjustRightInd w:val="0"/>
        <w:snapToGrid w:val="0"/>
        <w:spacing w:before="0" w:beforeAutospacing="0" w:after="0" w:afterAutospacing="0" w:line="276" w:lineRule="auto"/>
        <w:rPr>
          <w:b/>
          <w:bCs/>
          <w:sz w:val="24"/>
          <w:szCs w:val="24"/>
        </w:rPr>
      </w:pPr>
      <w:r>
        <w:rPr>
          <w:rFonts w:hint="eastAsia" w:cs="宋体"/>
          <w:b/>
          <w:bCs/>
          <w:sz w:val="24"/>
          <w:szCs w:val="24"/>
        </w:rPr>
        <w:t>4.3在三年合同期限内，实际结算金额未达到中标金额总额的，以实际结算金额为准；中标金额结算完毕，合同自动终止，采购人重新实施采购。</w:t>
      </w:r>
    </w:p>
    <w:p>
      <w:pPr>
        <w:pStyle w:val="2"/>
        <w:adjustRightInd w:val="0"/>
        <w:snapToGrid w:val="0"/>
        <w:spacing w:after="0" w:line="276" w:lineRule="auto"/>
        <w:jc w:val="left"/>
        <w:rPr>
          <w:b/>
          <w:bCs/>
          <w:sz w:val="24"/>
          <w:szCs w:val="24"/>
        </w:rPr>
      </w:pPr>
      <w:r>
        <w:rPr>
          <w:rFonts w:hint="eastAsia"/>
          <w:b/>
          <w:bCs/>
          <w:sz w:val="24"/>
          <w:szCs w:val="24"/>
        </w:rPr>
        <w:t>5.配送及服务要求：</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5.1在实际使用过程中如因产品自身质量原因出现异常情况，成交供应商能在收到院方口头或书面通知后请厂家或专家1日内到采购人处协助解决异常情况，相关一切费用由成交供货商负责。</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5.2对于一些需要指导的新产品，供应商必须做好相关培训工作，培训产生的费用由成交供货商负责。新开展的项目或同一测定项目检测方法改变升级，供货商需无条件提供货源。</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5.3成交供应商在服务过程中须提供至少1名经过相关培训的临床跟台人员，并提供所需的专业配套工具。</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5.4成交供应商在采购人所在地或周边地区设立库房，能快速提供售后服务，配送及时，一般耗材于24小时内送达，急用耗材应根据需要按时送达。同时提供产品说明书、检测报告、质量保证书、保修卡等相关资料，进口产品必须同时提供报关单及进出口货物检验检疫证明。</w:t>
      </w:r>
    </w:p>
    <w:p>
      <w:pPr>
        <w:pStyle w:val="2"/>
        <w:adjustRightInd w:val="0"/>
        <w:snapToGrid w:val="0"/>
        <w:spacing w:after="0" w:line="276" w:lineRule="auto"/>
        <w:jc w:val="left"/>
        <w:rPr>
          <w:rFonts w:hAnsi="宋体" w:cs="宋体"/>
          <w:bCs/>
          <w:sz w:val="24"/>
          <w:szCs w:val="24"/>
        </w:rPr>
      </w:pPr>
      <w:r>
        <w:rPr>
          <w:rFonts w:hint="eastAsia"/>
          <w:b/>
          <w:bCs/>
          <w:sz w:val="24"/>
          <w:szCs w:val="24"/>
        </w:rPr>
        <w:t>6.验收标准：</w:t>
      </w:r>
      <w:r>
        <w:rPr>
          <w:rFonts w:hint="eastAsia" w:hAnsi="宋体" w:cs="宋体"/>
          <w:bCs/>
          <w:sz w:val="24"/>
          <w:szCs w:val="24"/>
        </w:rPr>
        <w:t>按采购方对耗材的验收标准进行验收。</w:t>
      </w:r>
    </w:p>
    <w:p>
      <w:pPr>
        <w:spacing w:line="276" w:lineRule="auto"/>
        <w:rPr>
          <w:b/>
          <w:bCs/>
          <w:sz w:val="24"/>
          <w:szCs w:val="24"/>
        </w:rPr>
      </w:pPr>
      <w:r>
        <w:rPr>
          <w:rFonts w:hint="eastAsia"/>
          <w:b/>
          <w:bCs/>
          <w:sz w:val="24"/>
          <w:szCs w:val="24"/>
        </w:rPr>
        <w:t>7.其他商务要求</w:t>
      </w:r>
    </w:p>
    <w:p>
      <w:pPr>
        <w:adjustRightInd w:val="0"/>
        <w:snapToGrid w:val="0"/>
        <w:spacing w:line="276" w:lineRule="auto"/>
        <w:jc w:val="left"/>
        <w:rPr>
          <w:rFonts w:hAnsi="宋体" w:cs="宋体"/>
          <w:bCs/>
          <w:sz w:val="24"/>
          <w:szCs w:val="24"/>
        </w:rPr>
      </w:pPr>
      <w:r>
        <w:rPr>
          <w:rFonts w:hint="eastAsia" w:hAnsi="宋体" w:cs="宋体"/>
          <w:bCs/>
          <w:sz w:val="24"/>
          <w:szCs w:val="24"/>
        </w:rPr>
        <w:t>7.1履约保障：成交供应商在履约期间，若因国家、部门政策规定出现与合同约定相抵触时，按国家相关规定执行；成交供货商在履约过程中，若出现违法、违纪、违规行为，除承担相应责任外，采购方有权单方面取消其供货资格；供货商在履约过程中，若出现三次以上未按规定履约的同一违约行为时，采购方有权单方面取消其供货资格。若供应商提供的产品出现重大质量问题，造成恶劣影响的，采购方除按上述条款，责成赔偿，要求承担医患双方调解的费用赔付外，还有权单方面取消其供货资格。</w:t>
      </w:r>
    </w:p>
    <w:p>
      <w:pPr>
        <w:adjustRightInd w:val="0"/>
        <w:snapToGrid w:val="0"/>
        <w:spacing w:line="276" w:lineRule="auto"/>
        <w:jc w:val="left"/>
        <w:rPr>
          <w:rFonts w:hAnsi="宋体" w:cs="宋体"/>
          <w:bCs/>
          <w:sz w:val="24"/>
          <w:szCs w:val="24"/>
        </w:rPr>
      </w:pPr>
      <w:r>
        <w:rPr>
          <w:rFonts w:hint="eastAsia" w:hAnsi="宋体" w:cs="宋体"/>
          <w:bCs/>
          <w:sz w:val="24"/>
          <w:szCs w:val="24"/>
        </w:rPr>
        <w:t>7.2如果采购人在正常保管和使用前题下，因产品质量问题造成的医疗事故及纠纷，由成交供应商负责并承担财产损失赔偿责任,并承担医患双方调解的费用赔付；若涉及产品质量鉴定，由成交供应商负责委托相关具有相关检测资质的质检部门进行检测，并承担相关费用。</w:t>
      </w:r>
    </w:p>
    <w:p>
      <w:pPr>
        <w:pStyle w:val="5"/>
      </w:pPr>
      <w:r>
        <w:rPr>
          <w:rFonts w:hint="eastAsia" w:hAnsi="宋体" w:cs="宋体"/>
          <w:bCs/>
          <w:sz w:val="24"/>
        </w:rPr>
        <w:t>7.3</w:t>
      </w:r>
      <w:r>
        <w:rPr>
          <w:rFonts w:hint="eastAsia" w:hAnsi="宋体" w:cs="宋体"/>
          <w:b/>
          <w:sz w:val="24"/>
        </w:rPr>
        <w:t>成交供应商在与采购人签订合同时需提供制造厂家授权书和产品相关注册（备案）证书（在响应文件中不需提供）等采购人要求的相关资质证件（参照《医疗器械归档资料收集清单》执行），如不能提供,采购人有权取消其成交资格。</w:t>
      </w:r>
    </w:p>
    <w:p>
      <w:pPr>
        <w:autoSpaceDE w:val="0"/>
        <w:autoSpaceDN w:val="0"/>
        <w:adjustRightInd w:val="0"/>
        <w:snapToGrid w:val="0"/>
        <w:spacing w:line="276" w:lineRule="auto"/>
        <w:jc w:val="left"/>
        <w:rPr>
          <w:rFonts w:hAnsi="宋体" w:cs="宋体"/>
          <w:b/>
          <w:sz w:val="24"/>
          <w:szCs w:val="24"/>
        </w:rPr>
      </w:pPr>
      <w:r>
        <w:rPr>
          <w:rFonts w:hint="eastAsia" w:hAnsi="宋体" w:cs="宋体"/>
          <w:b/>
          <w:sz w:val="24"/>
          <w:szCs w:val="24"/>
        </w:rPr>
        <w:t>8.产品质量要求：</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8.1成交供应商所提供的产品，若技术性能无特殊说明，则按生产企业或国家有关部门最新颁布的标准及规范为准。</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8.2成交供应商应保证所有货物是全新、未使用过的原厂原装合格正品(最大容量产品)，并完全符合国家规定的质量、规格和性能要求。产品包装（含最小包装）必须符合国家关于医疗器械的相关法律要求。</w:t>
      </w:r>
    </w:p>
    <w:p>
      <w:pPr>
        <w:pStyle w:val="6"/>
        <w:wordWrap w:val="0"/>
        <w:adjustRightInd w:val="0"/>
        <w:snapToGrid w:val="0"/>
        <w:spacing w:before="0" w:beforeAutospacing="0" w:after="0" w:afterAutospacing="0" w:line="276" w:lineRule="auto"/>
        <w:rPr>
          <w:rFonts w:cs="宋体"/>
          <w:sz w:val="24"/>
          <w:szCs w:val="24"/>
        </w:rPr>
      </w:pPr>
      <w:r>
        <w:rPr>
          <w:rFonts w:hint="eastAsia" w:cs="宋体"/>
          <w:sz w:val="24"/>
          <w:szCs w:val="24"/>
        </w:rPr>
        <w:t>8.3成交供应商所提供的货物的包装均为货物出厂时原包装，并保证所提供的货物在装卸、运输和仓储过程中有足够的包装保护，防止货物受潮、生锈、被腐蚀、受到冲撞以及其他不可预见的损坏。</w:t>
      </w:r>
    </w:p>
    <w:p>
      <w:pPr>
        <w:rPr>
          <w:rFonts w:hAnsi="宋体" w:cs="宋体"/>
          <w:b/>
          <w:bCs/>
          <w:sz w:val="24"/>
          <w:szCs w:val="24"/>
        </w:rPr>
      </w:pPr>
      <w:r>
        <w:rPr>
          <w:rFonts w:hint="eastAsia" w:cs="宋体"/>
          <w:sz w:val="24"/>
          <w:szCs w:val="24"/>
        </w:rPr>
        <w:t>9.关于成交价格挂网要求双方在合同中进行约定。</w:t>
      </w:r>
    </w:p>
    <w:p>
      <w:pPr>
        <w:ind w:firstLine="482" w:firstLineChars="200"/>
        <w:rPr>
          <w:rFonts w:hAnsi="宋体" w:cs="宋体"/>
          <w:b/>
          <w:bCs/>
          <w:sz w:val="24"/>
          <w:szCs w:val="24"/>
        </w:rPr>
      </w:pPr>
      <w:r>
        <w:rPr>
          <w:rFonts w:hint="eastAsia" w:hAnsi="宋体" w:cs="宋体"/>
          <w:b/>
          <w:bCs/>
          <w:sz w:val="24"/>
          <w:szCs w:val="24"/>
        </w:rPr>
        <w:t>注：以上商务条款为实质性条款，均不允许负偏离，负偏离视为非实质性响应比选文件，做无效文件处理，须按比选文件要求在商务响应表中予以应答。</w:t>
      </w:r>
    </w:p>
    <w:p>
      <w:pPr>
        <w:rPr>
          <w:rFonts w:hAnsi="宋体" w:cs="宋体"/>
          <w:sz w:val="32"/>
          <w:szCs w:val="32"/>
        </w:rPr>
      </w:pPr>
      <w:r>
        <w:rPr>
          <w:rFonts w:hAnsi="宋体" w:cs="宋体"/>
          <w:sz w:val="32"/>
          <w:szCs w:val="32"/>
        </w:rPr>
        <w:br w:type="page"/>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2MjQwYjZiMTNhMjVhMDBhOWFjZGQzZGJmY2Y4NDAifQ=="/>
  </w:docVars>
  <w:rsids>
    <w:rsidRoot w:val="2AB56AA7"/>
    <w:rsid w:val="2AB56AA7"/>
    <w:rsid w:val="7DA10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qFormat/>
    <w:uiPriority w:val="0"/>
    <w:pPr>
      <w:keepNext/>
      <w:keepLines/>
      <w:spacing w:before="260" w:after="260" w:line="500" w:lineRule="exact"/>
      <w:outlineLvl w:val="1"/>
    </w:pPr>
    <w:rPr>
      <w:rFonts w:ascii="Arial" w:hAnsi="Arial" w:eastAsia="黑体"/>
      <w:b/>
      <w:kern w:val="2"/>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qFormat/>
    <w:uiPriority w:val="0"/>
    <w:pPr>
      <w:ind w:firstLine="420" w:firstLineChars="100"/>
    </w:pPr>
  </w:style>
  <w:style w:type="paragraph" w:styleId="5">
    <w:name w:val="annotation text"/>
    <w:basedOn w:val="1"/>
    <w:qFormat/>
    <w:uiPriority w:val="0"/>
    <w:pPr>
      <w:jc w:val="left"/>
    </w:pPr>
    <w:rPr>
      <w:szCs w:val="24"/>
    </w:rPr>
  </w:style>
  <w:style w:type="paragraph" w:styleId="6">
    <w:name w:val="Normal (Web)"/>
    <w:basedOn w:val="1"/>
    <w:qFormat/>
    <w:uiPriority w:val="0"/>
    <w:pPr>
      <w:widowControl/>
      <w:spacing w:before="100" w:beforeAutospacing="1" w:after="100" w:afterAutospacing="1"/>
      <w:jc w:val="left"/>
    </w:pPr>
    <w:rPr>
      <w:rFonts w:hAnsi="宋体"/>
      <w:sz w:val="18"/>
    </w:rPr>
  </w:style>
  <w:style w:type="paragraph" w:styleId="9">
    <w:name w:val="Quote"/>
    <w:basedOn w:val="1"/>
    <w:next w:val="1"/>
    <w:qFormat/>
    <w:uiPriority w:val="0"/>
    <w:pPr>
      <w:wordWrap w:val="0"/>
      <w:spacing w:before="200" w:after="160"/>
      <w:ind w:left="864" w:right="864"/>
      <w:jc w:val="center"/>
    </w:pPr>
    <w:rPr>
      <w:rFonts w:ascii="Times New Roman"/>
      <w:i/>
      <w:sz w:val="21"/>
    </w:rPr>
  </w:style>
  <w:style w:type="character" w:customStyle="1" w:styleId="10">
    <w:name w:val="font61"/>
    <w:basedOn w:val="8"/>
    <w:qFormat/>
    <w:uiPriority w:val="0"/>
    <w:rPr>
      <w:rFonts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4819</Words>
  <Characters>7253</Characters>
  <Lines>0</Lines>
  <Paragraphs>0</Paragraphs>
  <TotalTime>0</TotalTime>
  <ScaleCrop>false</ScaleCrop>
  <LinksUpToDate>false</LinksUpToDate>
  <CharactersWithSpaces>7333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2023-01-17T08:16:00Z</dcterms:created>
  <dc:creator>万吉涛</dc:creator>
  <cp:lastModifiedBy>万吉涛</cp:lastModifiedBy>
  <dcterms:modified xsi:type="dcterms:W3CDTF">2023-01-17T08:17:16Z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E0E0FF5B2FAB448FA715154FDE7553AB</vt:lpwstr>
  </property>
</Properties>
</file>