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outlineLvl w:val="1"/>
        <w:rPr>
          <w:rFonts w:hint="eastAsia" w:hAnsi="宋体" w:cs="宋体"/>
          <w:sz w:val="36"/>
          <w:szCs w:val="22"/>
          <w:lang w:eastAsia="zh-CN"/>
        </w:rPr>
      </w:pPr>
      <w:r>
        <w:rPr>
          <w:rFonts w:hint="eastAsia" w:hAnsi="宋体" w:cs="宋体"/>
          <w:sz w:val="36"/>
          <w:szCs w:val="22"/>
          <w:lang w:eastAsia="zh-CN"/>
        </w:rPr>
        <w:t>采购需求</w:t>
      </w:r>
      <w:bookmarkStart w:id="1" w:name="_GoBack"/>
      <w:bookmarkEnd w:id="1"/>
    </w:p>
    <w:p>
      <w:pPr>
        <w:pStyle w:val="6"/>
        <w:outlineLvl w:val="1"/>
      </w:pPr>
      <w:r>
        <w:rPr>
          <w:rFonts w:hint="eastAsia"/>
          <w:b/>
          <w:bCs/>
          <w:sz w:val="28"/>
          <w:szCs w:val="16"/>
        </w:rPr>
        <w:t>一、项目概述</w:t>
      </w:r>
    </w:p>
    <w:p>
      <w:pPr>
        <w:pStyle w:val="8"/>
        <w:wordWrap w:val="0"/>
        <w:adjustRightInd w:val="0"/>
        <w:snapToGrid w:val="0"/>
        <w:spacing w:before="0" w:beforeAutospacing="0" w:after="0" w:afterAutospacing="0" w:line="276" w:lineRule="auto"/>
        <w:rPr>
          <w:sz w:val="24"/>
          <w:szCs w:val="21"/>
        </w:rPr>
      </w:pPr>
      <w:bookmarkStart w:id="0" w:name="PO_默认文件内容_3"/>
      <w:r>
        <w:rPr>
          <w:rFonts w:hint="eastAsia"/>
          <w:bCs/>
          <w:sz w:val="24"/>
          <w:szCs w:val="21"/>
        </w:rPr>
        <w:t>本项目拟采购医用耗材1批及相关配送服务供应商</w:t>
      </w:r>
      <w:r>
        <w:rPr>
          <w:rFonts w:hint="eastAsia"/>
          <w:sz w:val="24"/>
          <w:szCs w:val="21"/>
        </w:rPr>
        <w:t>。</w:t>
      </w:r>
      <w:bookmarkEnd w:id="0"/>
    </w:p>
    <w:tbl>
      <w:tblPr>
        <w:tblStyle w:val="9"/>
        <w:tblW w:w="9394"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670"/>
        <w:gridCol w:w="1150"/>
        <w:gridCol w:w="3090"/>
        <w:gridCol w:w="1120"/>
        <w:gridCol w:w="852"/>
        <w:gridCol w:w="701"/>
        <w:gridCol w:w="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16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r>
              <w:rPr>
                <w:rFonts w:hint="eastAsia" w:hAnsi="宋体" w:cs="宋体"/>
                <w:i w:val="0"/>
                <w:iCs w:val="0"/>
                <w:color w:val="000000"/>
                <w:kern w:val="0"/>
                <w:sz w:val="20"/>
                <w:szCs w:val="20"/>
                <w:u w:val="none"/>
                <w:lang w:val="en-US" w:eastAsia="zh-CN" w:bidi="ar"/>
              </w:rPr>
              <w:t>号</w:t>
            </w:r>
          </w:p>
        </w:tc>
        <w:tc>
          <w:tcPr>
            <w:tcW w:w="1150"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hAnsi="宋体" w:cs="宋体"/>
                <w:i w:val="0"/>
                <w:iCs w:val="0"/>
                <w:color w:val="000000"/>
                <w:kern w:val="0"/>
                <w:sz w:val="20"/>
                <w:szCs w:val="20"/>
                <w:u w:val="none"/>
                <w:lang w:val="en-US" w:eastAsia="zh-CN" w:bidi="ar"/>
              </w:rPr>
              <w:t>品目序号</w:t>
            </w:r>
          </w:p>
        </w:tc>
        <w:tc>
          <w:tcPr>
            <w:tcW w:w="309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产品名称</w:t>
            </w:r>
          </w:p>
        </w:tc>
        <w:tc>
          <w:tcPr>
            <w:tcW w:w="11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是否进口</w:t>
            </w:r>
          </w:p>
        </w:tc>
        <w:tc>
          <w:tcPr>
            <w:tcW w:w="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p>
        </w:tc>
        <w:tc>
          <w:tcPr>
            <w:tcW w:w="70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8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6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hAnsi="宋体" w:cs="宋体"/>
                <w:i w:val="0"/>
                <w:iCs w:val="0"/>
                <w:color w:val="000000"/>
                <w:kern w:val="0"/>
                <w:sz w:val="20"/>
                <w:szCs w:val="20"/>
                <w:u w:val="none"/>
                <w:lang w:val="en-US" w:eastAsia="zh-CN" w:bidi="ar"/>
              </w:rPr>
              <w:t>01</w:t>
            </w:r>
            <w:r>
              <w:rPr>
                <w:rFonts w:hint="eastAsia" w:ascii="宋体" w:hAnsi="宋体" w:eastAsia="宋体" w:cs="宋体"/>
                <w:i w:val="0"/>
                <w:iCs w:val="0"/>
                <w:color w:val="000000"/>
                <w:kern w:val="0"/>
                <w:sz w:val="20"/>
                <w:szCs w:val="20"/>
                <w:u w:val="none"/>
                <w:lang w:val="en-US" w:eastAsia="zh-CN" w:bidi="ar"/>
              </w:rPr>
              <w:t xml:space="preserve">包 </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细胞保存液</w:t>
            </w:r>
          </w:p>
        </w:tc>
        <w:tc>
          <w:tcPr>
            <w:tcW w:w="1150"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hAnsi="宋体" w:cs="宋体"/>
                <w:i w:val="0"/>
                <w:iCs w:val="0"/>
                <w:color w:val="000000"/>
                <w:kern w:val="0"/>
                <w:sz w:val="20"/>
                <w:szCs w:val="20"/>
                <w:u w:val="none"/>
                <w:lang w:val="en-US" w:eastAsia="zh-CN" w:bidi="ar"/>
              </w:rPr>
              <w:t>01-01</w:t>
            </w:r>
          </w:p>
        </w:tc>
        <w:tc>
          <w:tcPr>
            <w:tcW w:w="309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细胞保存液</w:t>
            </w:r>
          </w:p>
        </w:tc>
        <w:tc>
          <w:tcPr>
            <w:tcW w:w="112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85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64.5</w:t>
            </w:r>
          </w:p>
        </w:tc>
        <w:tc>
          <w:tcPr>
            <w:tcW w:w="70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12000</w:t>
            </w:r>
          </w:p>
        </w:tc>
      </w:tr>
    </w:tbl>
    <w:p>
      <w:pPr>
        <w:pStyle w:val="8"/>
        <w:wordWrap w:val="0"/>
        <w:adjustRightInd w:val="0"/>
        <w:snapToGrid w:val="0"/>
        <w:spacing w:before="0" w:beforeAutospacing="0" w:after="0" w:afterAutospacing="0" w:line="276" w:lineRule="auto"/>
        <w:rPr>
          <w:rFonts w:hint="eastAsia" w:cs="宋体"/>
          <w:b/>
          <w:sz w:val="24"/>
          <w:szCs w:val="24"/>
        </w:rPr>
      </w:pPr>
    </w:p>
    <w:p>
      <w:pPr>
        <w:pStyle w:val="8"/>
        <w:wordWrap w:val="0"/>
        <w:adjustRightInd w:val="0"/>
        <w:snapToGrid w:val="0"/>
        <w:spacing w:before="0" w:beforeAutospacing="0" w:after="0" w:afterAutospacing="0" w:line="276" w:lineRule="auto"/>
      </w:pPr>
      <w:r>
        <w:rPr>
          <w:rFonts w:hint="eastAsia" w:cs="宋体"/>
          <w:b/>
          <w:sz w:val="24"/>
          <w:szCs w:val="24"/>
        </w:rPr>
        <w:t>注：本次的“预采购数量”只作为本项目采购报价使用的数量，最终结算以实际使用数量为准。</w:t>
      </w:r>
    </w:p>
    <w:p>
      <w:pPr>
        <w:pStyle w:val="6"/>
        <w:numPr>
          <w:ilvl w:val="0"/>
          <w:numId w:val="2"/>
        </w:numPr>
        <w:outlineLvl w:val="1"/>
        <w:rPr>
          <w:b/>
          <w:bCs/>
          <w:sz w:val="28"/>
          <w:szCs w:val="16"/>
        </w:rPr>
      </w:pPr>
      <w:r>
        <w:rPr>
          <w:rFonts w:hint="eastAsia"/>
          <w:b/>
          <w:bCs/>
          <w:sz w:val="28"/>
          <w:szCs w:val="16"/>
        </w:rPr>
        <w:t>技术要求</w:t>
      </w:r>
    </w:p>
    <w:tbl>
      <w:tblPr>
        <w:tblStyle w:val="9"/>
        <w:tblW w:w="9650"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340"/>
        <w:gridCol w:w="1041"/>
        <w:gridCol w:w="1070"/>
        <w:gridCol w:w="6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 w:hRule="atLeast"/>
        </w:trPr>
        <w:tc>
          <w:tcPr>
            <w:tcW w:w="13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包</w:t>
            </w:r>
            <w:r>
              <w:rPr>
                <w:rFonts w:hint="eastAsia" w:hAnsi="宋体" w:cs="宋体"/>
                <w:i w:val="0"/>
                <w:iCs w:val="0"/>
                <w:color w:val="000000"/>
                <w:kern w:val="0"/>
                <w:sz w:val="20"/>
                <w:szCs w:val="20"/>
                <w:u w:val="none"/>
                <w:lang w:val="en-US" w:eastAsia="zh-CN" w:bidi="ar"/>
              </w:rPr>
              <w:t>号</w:t>
            </w:r>
          </w:p>
        </w:tc>
        <w:tc>
          <w:tcPr>
            <w:tcW w:w="1041"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hAnsi="宋体" w:cs="宋体"/>
                <w:i w:val="0"/>
                <w:iCs w:val="0"/>
                <w:color w:val="000000"/>
                <w:kern w:val="0"/>
                <w:sz w:val="20"/>
                <w:szCs w:val="20"/>
                <w:u w:val="none"/>
                <w:lang w:val="en-US" w:eastAsia="zh-CN" w:bidi="ar"/>
              </w:rPr>
              <w:t>品目序号</w:t>
            </w:r>
          </w:p>
        </w:tc>
        <w:tc>
          <w:tcPr>
            <w:tcW w:w="10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产品名称</w:t>
            </w:r>
          </w:p>
        </w:tc>
        <w:tc>
          <w:tcPr>
            <w:tcW w:w="619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3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hAnsi="宋体" w:cs="宋体"/>
                <w:i w:val="0"/>
                <w:iCs w:val="0"/>
                <w:color w:val="000000"/>
                <w:kern w:val="0"/>
                <w:sz w:val="20"/>
                <w:szCs w:val="20"/>
                <w:u w:val="none"/>
                <w:lang w:val="en-US" w:eastAsia="zh-CN" w:bidi="ar"/>
              </w:rPr>
              <w:t>01</w:t>
            </w:r>
            <w:r>
              <w:rPr>
                <w:rFonts w:hint="eastAsia" w:ascii="宋体" w:hAnsi="宋体" w:eastAsia="宋体" w:cs="宋体"/>
                <w:i w:val="0"/>
                <w:iCs w:val="0"/>
                <w:color w:val="000000"/>
                <w:kern w:val="0"/>
                <w:sz w:val="20"/>
                <w:szCs w:val="20"/>
                <w:u w:val="none"/>
                <w:lang w:val="en-US" w:eastAsia="zh-CN" w:bidi="ar"/>
              </w:rPr>
              <w:t xml:space="preserve">包 </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细胞保存液</w:t>
            </w:r>
          </w:p>
        </w:tc>
        <w:tc>
          <w:tcPr>
            <w:tcW w:w="104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hAnsi="宋体" w:cs="宋体"/>
                <w:i w:val="0"/>
                <w:iCs w:val="0"/>
                <w:color w:val="000000"/>
                <w:kern w:val="0"/>
                <w:sz w:val="20"/>
                <w:szCs w:val="20"/>
                <w:u w:val="none"/>
                <w:lang w:val="en-US" w:eastAsia="zh-CN" w:bidi="ar"/>
              </w:rPr>
              <w:t>01-01</w:t>
            </w:r>
          </w:p>
        </w:tc>
        <w:tc>
          <w:tcPr>
            <w:tcW w:w="10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细胞保存液</w:t>
            </w:r>
          </w:p>
        </w:tc>
        <w:tc>
          <w:tcPr>
            <w:tcW w:w="6199"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1、用途：用于妇科、体检中心、第三方医学检验机构的早期宫颈癌筛查；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2、包装：试剂≤20人份/盒；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3、组成：由细胞保存液、一次性采样拭子、细胞过滤器、粘附载玻片组成；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4、材质：液体、塑料制品、玻璃；</w:t>
            </w:r>
            <w:r>
              <w:rPr>
                <w:rFonts w:hint="eastAsia" w:ascii="宋体" w:hAnsi="宋体" w:eastAsia="宋体" w:cs="宋体"/>
                <w:i w:val="0"/>
                <w:iCs w:val="0"/>
                <w:color w:val="000000"/>
                <w:kern w:val="0"/>
                <w:sz w:val="20"/>
                <w:szCs w:val="20"/>
                <w:u w:val="none"/>
                <w:lang w:val="en-US" w:eastAsia="zh-CN" w:bidi="ar"/>
              </w:rPr>
              <w:br w:type="textWrapping"/>
            </w:r>
            <w:r>
              <w:rPr>
                <w:rFonts w:hint="eastAsia" w:hAnsi="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、灭菌情况：细胞保存液为非灭菌产品，一次性采样拭子为灭菌产品，均一次性使用；</w:t>
            </w:r>
            <w:r>
              <w:rPr>
                <w:rFonts w:hint="eastAsia" w:ascii="宋体" w:hAnsi="宋体" w:eastAsia="宋体" w:cs="宋体"/>
                <w:i w:val="0"/>
                <w:iCs w:val="0"/>
                <w:color w:val="000000"/>
                <w:kern w:val="0"/>
                <w:sz w:val="20"/>
                <w:szCs w:val="20"/>
                <w:u w:val="none"/>
                <w:lang w:val="en-US" w:eastAsia="zh-CN" w:bidi="ar"/>
              </w:rPr>
              <w:br w:type="textWrapping"/>
            </w:r>
            <w:r>
              <w:rPr>
                <w:rFonts w:hint="eastAsia" w:hAnsi="宋体" w:cs="宋体"/>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、有效期：≥2年；</w:t>
            </w:r>
            <w:r>
              <w:rPr>
                <w:rFonts w:hint="eastAsia" w:ascii="宋体" w:hAnsi="宋体" w:eastAsia="宋体" w:cs="宋体"/>
                <w:i w:val="0"/>
                <w:iCs w:val="0"/>
                <w:color w:val="000000"/>
                <w:kern w:val="0"/>
                <w:sz w:val="20"/>
                <w:szCs w:val="20"/>
                <w:u w:val="none"/>
                <w:lang w:val="en-US" w:eastAsia="zh-CN" w:bidi="ar"/>
              </w:rPr>
              <w:br w:type="textWrapping"/>
            </w:r>
            <w:r>
              <w:rPr>
                <w:rFonts w:hint="eastAsia" w:hAnsi="宋体" w:cs="宋体"/>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、每次制片≥2片，每小时最快出片≥100片；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r>
              <w:rPr>
                <w:rFonts w:hint="eastAsia" w:hAnsi="宋体" w:cs="宋体"/>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、至少具备融合模式和沉降模式两种制片技术；</w:t>
            </w:r>
            <w:r>
              <w:rPr>
                <w:rFonts w:hint="eastAsia" w:ascii="宋体" w:hAnsi="宋体" w:eastAsia="宋体" w:cs="宋体"/>
                <w:i w:val="0"/>
                <w:iCs w:val="0"/>
                <w:color w:val="000000"/>
                <w:kern w:val="0"/>
                <w:sz w:val="20"/>
                <w:szCs w:val="20"/>
                <w:u w:val="none"/>
                <w:lang w:val="en-US" w:eastAsia="zh-CN" w:bidi="ar"/>
              </w:rPr>
              <w:br w:type="textWrapping"/>
            </w:r>
            <w:r>
              <w:rPr>
                <w:rFonts w:hint="eastAsia" w:hAnsi="宋体" w:cs="宋体"/>
                <w:i w:val="0"/>
                <w:iCs w:val="0"/>
                <w:color w:val="000000"/>
                <w:kern w:val="0"/>
                <w:sz w:val="20"/>
                <w:szCs w:val="20"/>
                <w:u w:val="none"/>
                <w:lang w:val="en-US" w:eastAsia="zh-CN" w:bidi="ar"/>
              </w:rPr>
              <w:t>9</w:t>
            </w:r>
            <w:r>
              <w:rPr>
                <w:rFonts w:hint="eastAsia" w:ascii="宋体" w:hAnsi="宋体" w:eastAsia="宋体" w:cs="宋体"/>
                <w:i w:val="0"/>
                <w:iCs w:val="0"/>
                <w:color w:val="000000"/>
                <w:kern w:val="0"/>
                <w:sz w:val="20"/>
                <w:szCs w:val="20"/>
                <w:u w:val="none"/>
                <w:lang w:val="en-US" w:eastAsia="zh-CN" w:bidi="ar"/>
              </w:rPr>
              <w:t>、细菌灭活时间≤1min</w:t>
            </w:r>
            <w:r>
              <w:rPr>
                <w:rFonts w:hint="eastAsia"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r>
              <w:rPr>
                <w:rFonts w:hint="eastAsia" w:hAnsi="宋体" w:cs="宋体"/>
                <w:i w:val="0"/>
                <w:iCs w:val="0"/>
                <w:color w:val="000000"/>
                <w:kern w:val="0"/>
                <w:sz w:val="20"/>
                <w:szCs w:val="20"/>
                <w:u w:val="none"/>
                <w:lang w:val="en-US" w:eastAsia="zh-CN" w:bidi="ar"/>
              </w:rPr>
              <w:t>10</w:t>
            </w:r>
            <w:r>
              <w:rPr>
                <w:rFonts w:hint="eastAsia" w:ascii="宋体" w:hAnsi="宋体" w:eastAsia="宋体" w:cs="宋体"/>
                <w:i w:val="0"/>
                <w:iCs w:val="0"/>
                <w:color w:val="000000"/>
                <w:kern w:val="0"/>
                <w:sz w:val="20"/>
                <w:szCs w:val="20"/>
                <w:u w:val="none"/>
                <w:lang w:val="en-US" w:eastAsia="zh-CN" w:bidi="ar"/>
              </w:rPr>
              <w:t>、试剂不含甲醛</w:t>
            </w:r>
            <w:r>
              <w:rPr>
                <w:rFonts w:hint="eastAsia"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 xml:space="preserve">                                                                             </w:t>
            </w:r>
          </w:p>
        </w:tc>
      </w:tr>
    </w:tbl>
    <w:p>
      <w:pPr>
        <w:pStyle w:val="6"/>
        <w:outlineLvl w:val="9"/>
        <w:rPr>
          <w:rFonts w:hint="eastAsia"/>
          <w:b/>
          <w:bCs/>
          <w:sz w:val="28"/>
          <w:szCs w:val="16"/>
        </w:rPr>
      </w:pPr>
    </w:p>
    <w:p>
      <w:pPr>
        <w:pStyle w:val="6"/>
        <w:outlineLvl w:val="1"/>
        <w:rPr>
          <w:b/>
          <w:bCs/>
          <w:sz w:val="28"/>
          <w:szCs w:val="16"/>
        </w:rPr>
      </w:pPr>
      <w:r>
        <w:rPr>
          <w:rFonts w:hint="eastAsia"/>
          <w:b/>
          <w:bCs/>
          <w:sz w:val="28"/>
          <w:szCs w:val="16"/>
        </w:rPr>
        <w:t>三、商务条款</w:t>
      </w:r>
    </w:p>
    <w:p>
      <w:pPr>
        <w:pStyle w:val="8"/>
        <w:wordWrap w:val="0"/>
        <w:adjustRightInd w:val="0"/>
        <w:snapToGrid w:val="0"/>
        <w:spacing w:before="0" w:beforeAutospacing="0" w:after="0" w:afterAutospacing="0"/>
        <w:rPr>
          <w:rFonts w:cs="宋体"/>
          <w:b/>
          <w:bCs/>
          <w:sz w:val="24"/>
          <w:szCs w:val="24"/>
        </w:rPr>
      </w:pPr>
      <w:r>
        <w:rPr>
          <w:rFonts w:hint="eastAsia" w:cs="宋体"/>
          <w:b/>
          <w:bCs/>
          <w:sz w:val="24"/>
          <w:szCs w:val="24"/>
        </w:rPr>
        <w:t>1.服务期限及合同签订要求</w:t>
      </w:r>
    </w:p>
    <w:p>
      <w:pPr>
        <w:pStyle w:val="8"/>
        <w:wordWrap w:val="0"/>
        <w:adjustRightInd w:val="0"/>
        <w:snapToGrid w:val="0"/>
        <w:spacing w:before="0" w:beforeAutospacing="0" w:after="0" w:afterAutospacing="0"/>
        <w:rPr>
          <w:rFonts w:cs="宋体"/>
          <w:sz w:val="24"/>
          <w:szCs w:val="24"/>
        </w:rPr>
      </w:pPr>
      <w:r>
        <w:rPr>
          <w:rFonts w:hint="eastAsia" w:cs="宋体"/>
          <w:sz w:val="24"/>
          <w:szCs w:val="24"/>
        </w:rPr>
        <w:t>1.1服务期限：合同签订后3年。</w:t>
      </w:r>
    </w:p>
    <w:p>
      <w:pPr>
        <w:pStyle w:val="8"/>
        <w:wordWrap w:val="0"/>
        <w:adjustRightInd w:val="0"/>
        <w:snapToGrid w:val="0"/>
        <w:spacing w:before="0" w:beforeAutospacing="0" w:after="0" w:afterAutospacing="0"/>
        <w:rPr>
          <w:rFonts w:cs="宋体"/>
          <w:sz w:val="24"/>
          <w:szCs w:val="24"/>
        </w:rPr>
      </w:pPr>
      <w:r>
        <w:rPr>
          <w:rFonts w:hint="eastAsia" w:cs="宋体"/>
          <w:sz w:val="24"/>
          <w:szCs w:val="24"/>
        </w:rPr>
        <w:t>1.2成交之日起（以成交通知书日期为准），15个工作日内到泸州市中医医院综合采购部办理相关合同签订手续，须带齐成交通知书、廉洁承诺书、履约保证金银行回执单或担保函、公司（厂家）相关资质和产品授权证书等（参照《医疗器械归档资料收集清单》），如成交供应商不能在规定的时间内与采购人签订合同的，采购人可以按照评审报告推荐的中标或者成交候选人名单排序，确定下一候选人为成交供应商，也可以重新开展采购活动。同时，将追究成交供应商的缔约过失责任。</w:t>
      </w:r>
    </w:p>
    <w:p>
      <w:pPr>
        <w:pStyle w:val="8"/>
        <w:wordWrap w:val="0"/>
        <w:adjustRightInd w:val="0"/>
        <w:snapToGrid w:val="0"/>
        <w:spacing w:before="0" w:beforeAutospacing="0" w:after="0" w:afterAutospacing="0"/>
        <w:rPr>
          <w:rFonts w:cs="宋体"/>
          <w:sz w:val="24"/>
          <w:szCs w:val="24"/>
        </w:rPr>
      </w:pPr>
      <w:r>
        <w:rPr>
          <w:rFonts w:hint="eastAsia" w:cs="宋体"/>
          <w:sz w:val="24"/>
          <w:szCs w:val="24"/>
        </w:rPr>
        <w:t>1.3合同签订后一个月为试用期。试用期内如果连续两次相同质量问题发生并整改不到位的，采购人有权取消第一名的成交资格。</w:t>
      </w:r>
    </w:p>
    <w:p>
      <w:pPr>
        <w:pStyle w:val="8"/>
        <w:wordWrap w:val="0"/>
        <w:adjustRightInd w:val="0"/>
        <w:snapToGrid w:val="0"/>
        <w:spacing w:before="0" w:beforeAutospacing="0" w:after="0" w:afterAutospacing="0"/>
        <w:rPr>
          <w:rFonts w:cs="宋体"/>
          <w:sz w:val="24"/>
          <w:szCs w:val="24"/>
        </w:rPr>
      </w:pPr>
      <w:r>
        <w:rPr>
          <w:rFonts w:hint="eastAsia" w:cs="宋体"/>
          <w:b/>
          <w:bCs/>
          <w:sz w:val="24"/>
          <w:szCs w:val="24"/>
        </w:rPr>
        <w:t>2.服务及交货地点：</w:t>
      </w:r>
      <w:r>
        <w:rPr>
          <w:rFonts w:hint="eastAsia" w:cs="宋体"/>
          <w:sz w:val="24"/>
          <w:szCs w:val="24"/>
        </w:rPr>
        <w:t>泸州市中医医院指定的地点。</w:t>
      </w:r>
    </w:p>
    <w:p>
      <w:pPr>
        <w:pStyle w:val="8"/>
        <w:wordWrap w:val="0"/>
        <w:adjustRightInd w:val="0"/>
        <w:snapToGrid w:val="0"/>
        <w:spacing w:before="0" w:beforeAutospacing="0" w:after="0" w:afterAutospacing="0"/>
        <w:rPr>
          <w:rFonts w:cs="宋体"/>
          <w:b/>
          <w:bCs/>
          <w:sz w:val="24"/>
          <w:szCs w:val="24"/>
        </w:rPr>
      </w:pPr>
      <w:r>
        <w:rPr>
          <w:rFonts w:hint="eastAsia" w:cs="宋体"/>
          <w:b/>
          <w:bCs/>
          <w:sz w:val="24"/>
          <w:szCs w:val="24"/>
        </w:rPr>
        <w:t>3.付款方法和条件</w:t>
      </w:r>
      <w:r>
        <w:rPr>
          <w:rFonts w:hint="eastAsia" w:cs="宋体"/>
          <w:sz w:val="24"/>
          <w:szCs w:val="24"/>
        </w:rPr>
        <w:t>：根据采购人的实际入库数量，验收合格后，在医学装备部办理入出库手续交财务科，付款周期6个月，请供应商自行核算资金利息</w:t>
      </w:r>
      <w:r>
        <w:rPr>
          <w:rFonts w:hint="eastAsia" w:cs="宋体"/>
          <w:b/>
          <w:bCs/>
          <w:sz w:val="24"/>
          <w:szCs w:val="24"/>
        </w:rPr>
        <w:t>。</w:t>
      </w:r>
    </w:p>
    <w:p>
      <w:pPr>
        <w:pStyle w:val="8"/>
        <w:wordWrap w:val="0"/>
        <w:adjustRightInd w:val="0"/>
        <w:snapToGrid w:val="0"/>
        <w:spacing w:before="0" w:beforeAutospacing="0" w:after="0" w:afterAutospacing="0"/>
        <w:rPr>
          <w:rFonts w:cs="宋体"/>
          <w:b/>
          <w:bCs/>
          <w:sz w:val="24"/>
          <w:szCs w:val="24"/>
        </w:rPr>
      </w:pPr>
      <w:r>
        <w:rPr>
          <w:rFonts w:hint="eastAsia" w:cs="宋体"/>
          <w:b/>
          <w:bCs/>
          <w:sz w:val="24"/>
          <w:szCs w:val="24"/>
        </w:rPr>
        <w:t>4.比选响应报价要求及货款结算金额：</w:t>
      </w:r>
    </w:p>
    <w:p>
      <w:pPr>
        <w:pStyle w:val="8"/>
        <w:wordWrap w:val="0"/>
        <w:adjustRightInd w:val="0"/>
        <w:snapToGrid w:val="0"/>
        <w:spacing w:before="0" w:beforeAutospacing="0" w:after="0" w:afterAutospacing="0"/>
        <w:rPr>
          <w:rFonts w:cs="宋体"/>
          <w:sz w:val="24"/>
          <w:szCs w:val="24"/>
        </w:rPr>
      </w:pPr>
      <w:r>
        <w:rPr>
          <w:rFonts w:hint="eastAsia" w:cs="宋体"/>
          <w:sz w:val="24"/>
          <w:szCs w:val="24"/>
        </w:rPr>
        <w:t>4.1报价要求：</w:t>
      </w:r>
      <w:r>
        <w:rPr>
          <w:rFonts w:hint="eastAsia" w:cs="宋体"/>
          <w:b/>
          <w:bCs/>
          <w:sz w:val="24"/>
          <w:szCs w:val="24"/>
        </w:rPr>
        <w:t>每个参选产品单价不得高于四川省药械集中采购及医药价格监管平台公布的“截止上月末全省医疗机构最低采购价”，同时也不得高于本项目规定的单品最高限价。否则报价将视为无效报价。</w:t>
      </w:r>
    </w:p>
    <w:p>
      <w:pPr>
        <w:pStyle w:val="8"/>
        <w:wordWrap w:val="0"/>
        <w:adjustRightInd w:val="0"/>
        <w:snapToGrid w:val="0"/>
        <w:spacing w:before="0" w:beforeAutospacing="0" w:after="0" w:afterAutospacing="0"/>
        <w:rPr>
          <w:rFonts w:cs="宋体"/>
          <w:sz w:val="24"/>
          <w:szCs w:val="24"/>
        </w:rPr>
      </w:pPr>
      <w:r>
        <w:rPr>
          <w:rFonts w:hint="eastAsia" w:cs="宋体"/>
          <w:sz w:val="24"/>
          <w:szCs w:val="24"/>
        </w:rPr>
        <w:t>4.2按月动态结算，合同最终结算价格=∑单品单价*采购人实际采购数量；如果在结算单月，四川省药械集中采购及医药价格监管平台公布的“截止上月末全省医疗机构最低采购价”和“联动参考价”及“本次采购的成交单价”，取三者最低价进行结算。</w:t>
      </w:r>
    </w:p>
    <w:p>
      <w:pPr>
        <w:pStyle w:val="8"/>
        <w:wordWrap w:val="0"/>
        <w:adjustRightInd w:val="0"/>
        <w:snapToGrid w:val="0"/>
        <w:spacing w:before="0" w:beforeAutospacing="0" w:after="0" w:afterAutospacing="0"/>
        <w:rPr>
          <w:b/>
          <w:bCs/>
          <w:sz w:val="24"/>
          <w:szCs w:val="24"/>
        </w:rPr>
      </w:pPr>
      <w:r>
        <w:rPr>
          <w:rFonts w:hint="eastAsia" w:cs="宋体"/>
          <w:b/>
          <w:bCs/>
          <w:sz w:val="24"/>
          <w:szCs w:val="24"/>
        </w:rPr>
        <w:t>4.3在三年合同期限内，实际结算金额未达到成交金额总额的，以实际结算金额为准；成交金额结算完毕，合同自动终止，采购人重新实施采购。</w:t>
      </w:r>
    </w:p>
    <w:p>
      <w:pPr>
        <w:pStyle w:val="6"/>
        <w:adjustRightInd w:val="0"/>
        <w:snapToGrid w:val="0"/>
        <w:spacing w:after="0"/>
        <w:jc w:val="left"/>
        <w:rPr>
          <w:b/>
          <w:bCs/>
          <w:sz w:val="24"/>
          <w:szCs w:val="24"/>
        </w:rPr>
      </w:pPr>
      <w:r>
        <w:rPr>
          <w:rFonts w:hint="eastAsia"/>
          <w:b/>
          <w:bCs/>
          <w:sz w:val="24"/>
          <w:szCs w:val="24"/>
        </w:rPr>
        <w:t>5.配送及服务要求：</w:t>
      </w:r>
    </w:p>
    <w:p>
      <w:pPr>
        <w:pStyle w:val="8"/>
        <w:wordWrap w:val="0"/>
        <w:adjustRightInd w:val="0"/>
        <w:snapToGrid w:val="0"/>
        <w:spacing w:before="0" w:beforeAutospacing="0" w:after="0" w:afterAutospacing="0"/>
        <w:rPr>
          <w:rFonts w:cs="宋体"/>
          <w:sz w:val="24"/>
          <w:szCs w:val="24"/>
        </w:rPr>
      </w:pPr>
      <w:r>
        <w:rPr>
          <w:rFonts w:hint="eastAsia" w:cs="宋体"/>
          <w:sz w:val="24"/>
          <w:szCs w:val="24"/>
        </w:rPr>
        <w:t>5.1在实际使用过程中如因产品自身质量原因出现异常情况，成交供应商能在收到院方口头或书面通知后请厂家或专家1日内到采购人处协助解决异常情况，相关一切费用由成交供货商负责。</w:t>
      </w:r>
    </w:p>
    <w:p>
      <w:pPr>
        <w:pStyle w:val="8"/>
        <w:wordWrap w:val="0"/>
        <w:adjustRightInd w:val="0"/>
        <w:snapToGrid w:val="0"/>
        <w:spacing w:before="0" w:beforeAutospacing="0" w:after="0" w:afterAutospacing="0"/>
        <w:rPr>
          <w:rFonts w:cs="宋体"/>
          <w:sz w:val="24"/>
          <w:szCs w:val="24"/>
        </w:rPr>
      </w:pPr>
      <w:r>
        <w:rPr>
          <w:rFonts w:hint="eastAsia" w:cs="宋体"/>
          <w:sz w:val="24"/>
          <w:szCs w:val="24"/>
        </w:rPr>
        <w:t>5.2对于一些需要指导的新产品，供应商必须做好相关培训工作，培训产生的费用由成交供货商负责。新开展的项目或同一测定项目检测方法改变升级，供货商需无条件提供货源。</w:t>
      </w:r>
    </w:p>
    <w:p>
      <w:pPr>
        <w:pStyle w:val="8"/>
        <w:wordWrap w:val="0"/>
        <w:adjustRightInd w:val="0"/>
        <w:snapToGrid w:val="0"/>
        <w:spacing w:before="0" w:beforeAutospacing="0" w:after="0" w:afterAutospacing="0"/>
        <w:rPr>
          <w:rFonts w:cs="宋体"/>
          <w:sz w:val="24"/>
          <w:szCs w:val="24"/>
        </w:rPr>
      </w:pPr>
      <w:r>
        <w:rPr>
          <w:rFonts w:hint="eastAsia" w:cs="宋体"/>
          <w:sz w:val="24"/>
          <w:szCs w:val="24"/>
        </w:rPr>
        <w:t>5.3成交供应商在服务过程中须提供至少1名经过相关培训的临床跟台人员，并提供所需的专业配套工具。</w:t>
      </w:r>
    </w:p>
    <w:p>
      <w:pPr>
        <w:pStyle w:val="8"/>
        <w:wordWrap w:val="0"/>
        <w:adjustRightInd w:val="0"/>
        <w:snapToGrid w:val="0"/>
        <w:spacing w:before="0" w:beforeAutospacing="0" w:after="0" w:afterAutospacing="0"/>
        <w:rPr>
          <w:rFonts w:cs="宋体"/>
          <w:sz w:val="24"/>
          <w:szCs w:val="24"/>
        </w:rPr>
      </w:pPr>
      <w:r>
        <w:rPr>
          <w:rFonts w:hint="eastAsia" w:cs="宋体"/>
          <w:sz w:val="24"/>
          <w:szCs w:val="24"/>
        </w:rPr>
        <w:t>5.4成交供应商在采购人所在地或周边地区设立库房，能快速提供售后服务，配送及时，一般耗材于24小时内送达，急用耗材应根据需要按时送达。同时提供产品说明书、检测报告、质量保证书、保修卡等相关资料，进口产品必须同时提供报关单及进出口货物检验检疫证明。</w:t>
      </w:r>
    </w:p>
    <w:p>
      <w:pPr>
        <w:pStyle w:val="8"/>
        <w:wordWrap w:val="0"/>
        <w:adjustRightInd w:val="0"/>
        <w:snapToGrid w:val="0"/>
        <w:spacing w:before="0" w:beforeAutospacing="0" w:after="0" w:afterAutospacing="0"/>
        <w:rPr>
          <w:rFonts w:cs="宋体"/>
          <w:sz w:val="24"/>
          <w:szCs w:val="24"/>
        </w:rPr>
      </w:pPr>
      <w:r>
        <w:rPr>
          <w:rFonts w:hint="eastAsia" w:cs="宋体"/>
          <w:sz w:val="24"/>
          <w:szCs w:val="24"/>
        </w:rPr>
        <w:t>5.5成交供应商每次送货需由专人送货上门（不接收邮寄），当面核实清点货物后方可办理入库，且须保证货物、发票、随货同行单（公司出库单）、合格证（或检验检疫报告）一并送达，如有缺项，医院有权拒收该货物。因此造成的后果，由成交供应商承担。如在服务期内出现3次以上未按要求进行办理的，医院有权终止合同，由成交供应商承担违约责任。</w:t>
      </w:r>
    </w:p>
    <w:p>
      <w:pPr>
        <w:pStyle w:val="6"/>
        <w:adjustRightInd w:val="0"/>
        <w:snapToGrid w:val="0"/>
        <w:spacing w:after="0"/>
        <w:jc w:val="left"/>
        <w:rPr>
          <w:rFonts w:hAnsi="宋体" w:cs="宋体"/>
          <w:bCs/>
          <w:sz w:val="24"/>
          <w:szCs w:val="24"/>
        </w:rPr>
      </w:pPr>
      <w:r>
        <w:rPr>
          <w:rFonts w:hint="eastAsia"/>
          <w:b/>
          <w:bCs/>
          <w:sz w:val="24"/>
          <w:szCs w:val="24"/>
        </w:rPr>
        <w:t>6.验收标准：</w:t>
      </w:r>
      <w:r>
        <w:rPr>
          <w:rFonts w:hint="eastAsia" w:hAnsi="宋体" w:cs="宋体"/>
          <w:bCs/>
          <w:sz w:val="24"/>
          <w:szCs w:val="24"/>
        </w:rPr>
        <w:t>按采购方对耗材的验收标准进行验收。</w:t>
      </w:r>
    </w:p>
    <w:p>
      <w:pPr>
        <w:adjustRightInd w:val="0"/>
        <w:snapToGrid w:val="0"/>
        <w:rPr>
          <w:b/>
          <w:bCs/>
          <w:sz w:val="24"/>
          <w:szCs w:val="24"/>
        </w:rPr>
      </w:pPr>
      <w:r>
        <w:rPr>
          <w:rFonts w:hint="eastAsia"/>
          <w:b/>
          <w:bCs/>
          <w:sz w:val="24"/>
          <w:szCs w:val="24"/>
        </w:rPr>
        <w:t>7.其他商务要求</w:t>
      </w:r>
    </w:p>
    <w:p>
      <w:pPr>
        <w:adjustRightInd w:val="0"/>
        <w:snapToGrid w:val="0"/>
        <w:jc w:val="left"/>
        <w:rPr>
          <w:rFonts w:hAnsi="宋体" w:cs="宋体"/>
          <w:bCs/>
          <w:sz w:val="24"/>
          <w:szCs w:val="24"/>
        </w:rPr>
      </w:pPr>
      <w:r>
        <w:rPr>
          <w:rFonts w:hint="eastAsia" w:hAnsi="宋体" w:cs="宋体"/>
          <w:bCs/>
          <w:sz w:val="24"/>
          <w:szCs w:val="24"/>
        </w:rPr>
        <w:t>7.1履约保障：成交供应商在履约期间，若因国家、部门政策规定出现与合同约定相抵触时，按国家相关规定执行；成交供货商在履约过程中，若出现违法、违纪、违规行为，除承担相应责任外，采购方有权单方面取消其供货资格；成交供货商在履约过程中，若出现三次以上未按规定履约的同一违约行为时，采购方有权单方面取消其供货资格。若成交供应商提供的产品出现重大质量问题，造成恶劣影响的，采购方除按上述条款，责成赔偿，要求承担医患双方调解的费用赔付外，还有权单方面取消其供货资格。</w:t>
      </w:r>
    </w:p>
    <w:p>
      <w:pPr>
        <w:adjustRightInd w:val="0"/>
        <w:snapToGrid w:val="0"/>
        <w:jc w:val="left"/>
        <w:rPr>
          <w:rFonts w:hAnsi="宋体" w:cs="宋体"/>
          <w:bCs/>
          <w:sz w:val="24"/>
          <w:szCs w:val="24"/>
        </w:rPr>
      </w:pPr>
      <w:r>
        <w:rPr>
          <w:rFonts w:hint="eastAsia" w:hAnsi="宋体" w:cs="宋体"/>
          <w:bCs/>
          <w:sz w:val="24"/>
          <w:szCs w:val="24"/>
        </w:rPr>
        <w:t>7.2如果采购人在正常保管和使用前题下，因产品质量问题造成的医疗事故及纠纷，由成交供应商负责并承担财产损失赔偿责任,并承担医患双方调解的费用赔付；若涉及产品质量鉴定，由成交供应商负责委托相关具有相关检测资质的质检部门进行检测，并承担相关费用。</w:t>
      </w:r>
    </w:p>
    <w:p>
      <w:pPr>
        <w:pStyle w:val="5"/>
        <w:adjustRightInd w:val="0"/>
        <w:snapToGrid w:val="0"/>
        <w:rPr>
          <w:rFonts w:hAnsi="宋体" w:cs="宋体"/>
          <w:b/>
          <w:sz w:val="24"/>
        </w:rPr>
      </w:pPr>
      <w:r>
        <w:rPr>
          <w:rFonts w:hint="eastAsia" w:hAnsi="宋体" w:cs="宋体"/>
          <w:bCs/>
          <w:sz w:val="24"/>
        </w:rPr>
        <w:t>7.3</w:t>
      </w:r>
      <w:r>
        <w:rPr>
          <w:rFonts w:hint="eastAsia" w:hAnsi="宋体" w:cs="宋体"/>
          <w:b/>
          <w:sz w:val="24"/>
        </w:rPr>
        <w:t>成交供应商在与采购人签订合同时需提供制造厂家授权书和产品相关注册（备案）证书（在响应文件中不需提供）等采购人要求的相关资质证件（参照《医疗器械归档资料收集清单》执行），如不能提供,采购人有权取消其成交资格。</w:t>
      </w:r>
    </w:p>
    <w:p>
      <w:pPr>
        <w:adjustRightInd w:val="0"/>
        <w:snapToGrid w:val="0"/>
        <w:jc w:val="left"/>
        <w:rPr>
          <w:rFonts w:hAnsi="宋体" w:cs="宋体"/>
          <w:bCs/>
          <w:sz w:val="24"/>
          <w:szCs w:val="24"/>
          <w:highlight w:val="none"/>
        </w:rPr>
      </w:pPr>
      <w:r>
        <w:rPr>
          <w:rFonts w:hint="eastAsia" w:hAnsi="宋体" w:cs="宋体"/>
          <w:bCs/>
          <w:sz w:val="24"/>
          <w:szCs w:val="24"/>
          <w:highlight w:val="none"/>
        </w:rPr>
        <w:t>7.4成交供应商应当在成交通知书发出之日起算20日内将采购文件要求的相关资料交医院审查（不可抗力等因素除外），并按照医院审查要求补齐相关必要资料。违者，医院可按照以下原则进行处理：</w:t>
      </w:r>
      <w:r>
        <w:rPr>
          <w:rFonts w:hAnsi="宋体" w:cs="宋体"/>
          <w:bCs/>
          <w:sz w:val="24"/>
          <w:szCs w:val="24"/>
          <w:highlight w:val="none"/>
        </w:rPr>
        <w:t>①</w:t>
      </w:r>
      <w:r>
        <w:rPr>
          <w:rFonts w:hint="eastAsia" w:hAnsi="宋体" w:cs="宋体"/>
          <w:bCs/>
          <w:sz w:val="24"/>
          <w:szCs w:val="24"/>
          <w:highlight w:val="none"/>
        </w:rPr>
        <w:t>视为成交供应商放弃中标资格，由成交供应商承担缔约过失责任人民币5000元。</w:t>
      </w:r>
      <w:r>
        <w:rPr>
          <w:rFonts w:hAnsi="宋体" w:cs="宋体"/>
          <w:bCs/>
          <w:sz w:val="24"/>
          <w:szCs w:val="24"/>
          <w:highlight w:val="none"/>
        </w:rPr>
        <w:t>②</w:t>
      </w:r>
      <w:r>
        <w:rPr>
          <w:rFonts w:hint="eastAsia" w:hAnsi="宋体" w:cs="宋体"/>
          <w:bCs/>
          <w:sz w:val="24"/>
          <w:szCs w:val="24"/>
          <w:highlight w:val="none"/>
        </w:rPr>
        <w:t>医院重新开展该项采购工作。</w:t>
      </w:r>
    </w:p>
    <w:p>
      <w:pPr>
        <w:adjustRightInd w:val="0"/>
        <w:snapToGrid w:val="0"/>
        <w:jc w:val="left"/>
        <w:rPr>
          <w:rFonts w:hAnsi="宋体" w:cs="宋体"/>
          <w:bCs/>
          <w:sz w:val="24"/>
          <w:szCs w:val="24"/>
          <w:highlight w:val="none"/>
        </w:rPr>
      </w:pPr>
      <w:r>
        <w:rPr>
          <w:rFonts w:hint="eastAsia" w:hAnsi="宋体" w:cs="宋体"/>
          <w:bCs/>
          <w:sz w:val="24"/>
          <w:szCs w:val="24"/>
          <w:highlight w:val="none"/>
        </w:rPr>
        <w:t>7.5成交供应商应当在成交通知书发出之日起算30日内与医院签订书面合同（不可抗力等因素除外）。违者，医院可按照以下原则进行处理：</w:t>
      </w:r>
      <w:r>
        <w:rPr>
          <w:rFonts w:hAnsi="宋体" w:cs="宋体"/>
          <w:bCs/>
          <w:sz w:val="24"/>
          <w:szCs w:val="24"/>
          <w:highlight w:val="none"/>
        </w:rPr>
        <w:t>①</w:t>
      </w:r>
      <w:r>
        <w:rPr>
          <w:rFonts w:hint="eastAsia" w:hAnsi="宋体" w:cs="宋体"/>
          <w:bCs/>
          <w:sz w:val="24"/>
          <w:szCs w:val="24"/>
          <w:highlight w:val="none"/>
        </w:rPr>
        <w:t>视为成交供应商拒绝与医院签订合同，取消成交供应商中标资格，由成交供应商承担缔约过失责任人民币10000元。</w:t>
      </w:r>
      <w:r>
        <w:rPr>
          <w:rFonts w:hAnsi="宋体" w:cs="宋体"/>
          <w:bCs/>
          <w:sz w:val="24"/>
          <w:szCs w:val="24"/>
          <w:highlight w:val="none"/>
        </w:rPr>
        <w:t>②</w:t>
      </w:r>
      <w:r>
        <w:rPr>
          <w:rFonts w:hint="eastAsia" w:hAnsi="宋体" w:cs="宋体"/>
          <w:bCs/>
          <w:sz w:val="24"/>
          <w:szCs w:val="24"/>
          <w:highlight w:val="none"/>
        </w:rPr>
        <w:t>原则上医院重新开展该项采购工作。</w:t>
      </w:r>
      <w:r>
        <w:rPr>
          <w:rFonts w:hAnsi="宋体" w:cs="宋体"/>
          <w:bCs/>
          <w:sz w:val="24"/>
          <w:szCs w:val="24"/>
          <w:highlight w:val="none"/>
        </w:rPr>
        <w:t>③</w:t>
      </w:r>
      <w:r>
        <w:rPr>
          <w:rFonts w:hint="eastAsia" w:hAnsi="宋体" w:cs="宋体"/>
          <w:bCs/>
          <w:sz w:val="24"/>
          <w:szCs w:val="24"/>
          <w:highlight w:val="none"/>
        </w:rPr>
        <w:t>医院也可根据评审报告推荐的成交候选人名单排序，确定下一序位候选人为成交供应商，同时进行公示。</w:t>
      </w:r>
    </w:p>
    <w:p>
      <w:pPr>
        <w:pStyle w:val="5"/>
        <w:adjustRightInd w:val="0"/>
        <w:snapToGrid w:val="0"/>
        <w:rPr>
          <w:rFonts w:hAnsi="宋体" w:cs="宋体"/>
          <w:b/>
          <w:sz w:val="24"/>
          <w:highlight w:val="none"/>
        </w:rPr>
      </w:pPr>
    </w:p>
    <w:p>
      <w:pPr>
        <w:autoSpaceDE w:val="0"/>
        <w:autoSpaceDN w:val="0"/>
        <w:adjustRightInd w:val="0"/>
        <w:snapToGrid w:val="0"/>
        <w:jc w:val="left"/>
        <w:rPr>
          <w:rFonts w:hAnsi="宋体" w:cs="宋体"/>
          <w:b/>
          <w:sz w:val="24"/>
          <w:szCs w:val="24"/>
        </w:rPr>
      </w:pPr>
      <w:r>
        <w:rPr>
          <w:rFonts w:hint="eastAsia" w:hAnsi="宋体" w:cs="宋体"/>
          <w:b/>
          <w:sz w:val="24"/>
          <w:szCs w:val="24"/>
        </w:rPr>
        <w:t>8.产品质量要求：</w:t>
      </w:r>
    </w:p>
    <w:p>
      <w:pPr>
        <w:pStyle w:val="8"/>
        <w:wordWrap w:val="0"/>
        <w:adjustRightInd w:val="0"/>
        <w:snapToGrid w:val="0"/>
        <w:spacing w:before="0" w:beforeAutospacing="0" w:after="0" w:afterAutospacing="0"/>
        <w:rPr>
          <w:rFonts w:cs="宋体"/>
          <w:sz w:val="24"/>
          <w:szCs w:val="24"/>
        </w:rPr>
      </w:pPr>
      <w:r>
        <w:rPr>
          <w:rFonts w:hint="eastAsia" w:cs="宋体"/>
          <w:sz w:val="24"/>
          <w:szCs w:val="24"/>
        </w:rPr>
        <w:t>8.1成交供应商所提供的产品，若技术性能无特殊说明，则按生产企业或国家有关部门最新颁布的标准及规范为准。</w:t>
      </w:r>
    </w:p>
    <w:p>
      <w:pPr>
        <w:pStyle w:val="8"/>
        <w:wordWrap w:val="0"/>
        <w:adjustRightInd w:val="0"/>
        <w:snapToGrid w:val="0"/>
        <w:spacing w:before="0" w:beforeAutospacing="0" w:after="0" w:afterAutospacing="0"/>
        <w:rPr>
          <w:rFonts w:cs="宋体"/>
          <w:sz w:val="24"/>
          <w:szCs w:val="24"/>
        </w:rPr>
      </w:pPr>
      <w:r>
        <w:rPr>
          <w:rFonts w:hint="eastAsia" w:cs="宋体"/>
          <w:sz w:val="24"/>
          <w:szCs w:val="24"/>
        </w:rPr>
        <w:t>8.2成交供应商应保证所有货物是全新、未使用过的原厂原装合格正品(最大容量产品)，并完全符合国家规定的质量、规格和性能要求。产品包装（含最小包装）必须符合国家关于医疗器械的相关法律要求。</w:t>
      </w:r>
    </w:p>
    <w:p>
      <w:pPr>
        <w:pStyle w:val="8"/>
        <w:wordWrap w:val="0"/>
        <w:adjustRightInd w:val="0"/>
        <w:snapToGrid w:val="0"/>
        <w:spacing w:before="0" w:beforeAutospacing="0" w:after="0" w:afterAutospacing="0"/>
        <w:rPr>
          <w:rFonts w:cs="宋体"/>
          <w:sz w:val="24"/>
          <w:szCs w:val="24"/>
        </w:rPr>
      </w:pPr>
      <w:r>
        <w:rPr>
          <w:rFonts w:hint="eastAsia" w:cs="宋体"/>
          <w:sz w:val="24"/>
          <w:szCs w:val="24"/>
        </w:rPr>
        <w:t>8.3成交供应商所提供的货物的包装均为货物出厂时原包装，并保证所提供的货物在装卸、运输和仓储过程中有足够的包装保护，防止货物受潮、生锈、被腐蚀、受到冲撞以及其他不可预见的损坏。</w:t>
      </w:r>
    </w:p>
    <w:p>
      <w:pPr>
        <w:numPr>
          <w:ilvl w:val="0"/>
          <w:numId w:val="3"/>
        </w:numPr>
        <w:adjustRightInd w:val="0"/>
        <w:snapToGrid w:val="0"/>
        <w:rPr>
          <w:rFonts w:cs="宋体"/>
          <w:sz w:val="24"/>
          <w:szCs w:val="24"/>
        </w:rPr>
      </w:pPr>
      <w:r>
        <w:rPr>
          <w:rFonts w:hint="eastAsia" w:cs="宋体"/>
          <w:sz w:val="24"/>
          <w:szCs w:val="24"/>
        </w:rPr>
        <w:t>关于成交价格挂网要求双方在合同中进行约定。</w:t>
      </w:r>
    </w:p>
    <w:p>
      <w:pPr>
        <w:pStyle w:val="6"/>
        <w:numPr>
          <w:ilvl w:val="0"/>
          <w:numId w:val="3"/>
        </w:numPr>
        <w:adjustRightInd w:val="0"/>
        <w:snapToGrid w:val="0"/>
        <w:spacing w:after="0"/>
        <w:rPr>
          <w:rFonts w:hAnsi="宋体" w:cs="宋体"/>
          <w:sz w:val="24"/>
          <w:szCs w:val="24"/>
        </w:rPr>
      </w:pPr>
      <w:r>
        <w:rPr>
          <w:rFonts w:hint="eastAsia" w:hAnsi="宋体" w:cs="宋体"/>
          <w:sz w:val="24"/>
          <w:szCs w:val="24"/>
        </w:rPr>
        <w:t>投标供应商自行核实投标产品须在国家医疗保障局下发的医用耗材最新目录库中，医用耗材国家编码能确保医保患者正常联网结算。若因投标产品未纳入四川省医疗保障局医用耗材最新目录库而导致医保患者无法正常联网结算的，供应商须及时并积极配合相关部门协调处理。</w:t>
      </w:r>
    </w:p>
    <w:p>
      <w:pPr>
        <w:pStyle w:val="7"/>
        <w:ind w:left="0"/>
        <w:jc w:val="both"/>
      </w:pPr>
    </w:p>
    <w:p>
      <w:pPr>
        <w:adjustRightInd w:val="0"/>
        <w:snapToGrid w:val="0"/>
        <w:ind w:firstLine="482" w:firstLineChars="200"/>
        <w:rPr>
          <w:rFonts w:hAnsi="宋体" w:cs="宋体"/>
          <w:b/>
          <w:bCs/>
          <w:sz w:val="24"/>
          <w:szCs w:val="24"/>
        </w:rPr>
      </w:pPr>
      <w:r>
        <w:rPr>
          <w:rFonts w:hint="eastAsia" w:hAnsi="宋体" w:cs="宋体"/>
          <w:b/>
          <w:bCs/>
          <w:sz w:val="24"/>
          <w:szCs w:val="24"/>
        </w:rPr>
        <w:t>注：以上商务条款为实质性条款，均不允许负偏离，负偏离视为非实质性响应比选文件，做无效文件处理，须按比选文件要求在商务响应表中予以应答。</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F988AA"/>
    <w:multiLevelType w:val="singleLevel"/>
    <w:tmpl w:val="23F988AA"/>
    <w:lvl w:ilvl="0" w:tentative="0">
      <w:start w:val="2"/>
      <w:numFmt w:val="chineseCounting"/>
      <w:suff w:val="nothing"/>
      <w:lvlText w:val="%1、"/>
      <w:lvlJc w:val="left"/>
      <w:rPr>
        <w:rFonts w:hint="eastAsia"/>
      </w:rPr>
    </w:lvl>
  </w:abstractNum>
  <w:abstractNum w:abstractNumId="1">
    <w:nsid w:val="31E6327B"/>
    <w:multiLevelType w:val="singleLevel"/>
    <w:tmpl w:val="31E6327B"/>
    <w:lvl w:ilvl="0" w:tentative="0">
      <w:start w:val="9"/>
      <w:numFmt w:val="decimal"/>
      <w:lvlText w:val="%1."/>
      <w:lvlJc w:val="left"/>
      <w:pPr>
        <w:tabs>
          <w:tab w:val="left" w:pos="312"/>
        </w:tabs>
      </w:p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1"/>
      <w:numFmt w:val="lowerLetter"/>
      <w:pStyle w:val="2"/>
      <w:lvlText w:val="%5)"/>
      <w:lvlJc w:val="left"/>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2MjQwYjZiMTNhMjVhMDBhOWFjZGQzZGJmY2Y4NDAifQ=="/>
  </w:docVars>
  <w:rsids>
    <w:rsidRoot w:val="382A743D"/>
    <w:rsid w:val="382A7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2"/>
    <w:basedOn w:val="1"/>
    <w:next w:val="1"/>
    <w:qFormat/>
    <w:uiPriority w:val="0"/>
    <w:pPr>
      <w:keepNext/>
      <w:keepLines/>
      <w:spacing w:before="260" w:after="260" w:line="500" w:lineRule="exact"/>
      <w:outlineLvl w:val="1"/>
    </w:pPr>
    <w:rPr>
      <w:rFonts w:ascii="Arial" w:hAnsi="Arial" w:eastAsia="黑体"/>
      <w:b/>
      <w:kern w:val="2"/>
      <w:sz w:val="28"/>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标题 5（有编号）（绿盟科技）"/>
    <w:next w:val="3"/>
    <w:qFormat/>
    <w:uiPriority w:val="0"/>
    <w:pPr>
      <w:keepNext/>
      <w:keepLines/>
      <w:widowControl w:val="0"/>
      <w:numPr>
        <w:ilvl w:val="4"/>
        <w:numId w:val="1"/>
      </w:numPr>
      <w:spacing w:before="280" w:after="156" w:line="377" w:lineRule="auto"/>
      <w:outlineLvl w:val="4"/>
    </w:pPr>
    <w:rPr>
      <w:rFonts w:ascii="Arial" w:hAnsi="Arial" w:eastAsia="黑体" w:cs="Times New Roman"/>
      <w:b/>
      <w:sz w:val="24"/>
      <w:szCs w:val="28"/>
      <w:lang w:val="en-US" w:eastAsia="zh-CN" w:bidi="ar-SA"/>
    </w:rPr>
  </w:style>
  <w:style w:type="paragraph" w:customStyle="1" w:styleId="3">
    <w:name w:val="正文（绿盟科技）"/>
    <w:qFormat/>
    <w:uiPriority w:val="0"/>
    <w:pPr>
      <w:spacing w:line="300" w:lineRule="auto"/>
    </w:pPr>
    <w:rPr>
      <w:rFonts w:ascii="Arial" w:hAnsi="Arial" w:eastAsia="Calibri" w:cs="Times New Roman"/>
      <w:sz w:val="21"/>
      <w:szCs w:val="21"/>
      <w:lang w:val="en-US" w:eastAsia="zh-CN" w:bidi="ar-SA"/>
    </w:rPr>
  </w:style>
  <w:style w:type="paragraph" w:styleId="5">
    <w:name w:val="annotation text"/>
    <w:basedOn w:val="1"/>
    <w:qFormat/>
    <w:uiPriority w:val="0"/>
    <w:pPr>
      <w:jc w:val="left"/>
    </w:pPr>
    <w:rPr>
      <w:szCs w:val="24"/>
    </w:rPr>
  </w:style>
  <w:style w:type="paragraph" w:styleId="6">
    <w:name w:val="Body Text"/>
    <w:basedOn w:val="1"/>
    <w:next w:val="7"/>
    <w:qFormat/>
    <w:uiPriority w:val="0"/>
    <w:pPr>
      <w:spacing w:after="120"/>
    </w:pPr>
  </w:style>
  <w:style w:type="paragraph" w:styleId="7">
    <w:name w:val="Quote"/>
    <w:basedOn w:val="1"/>
    <w:next w:val="1"/>
    <w:qFormat/>
    <w:uiPriority w:val="0"/>
    <w:pPr>
      <w:wordWrap w:val="0"/>
      <w:spacing w:before="200" w:after="160"/>
      <w:ind w:left="864" w:right="864"/>
      <w:jc w:val="center"/>
    </w:pPr>
    <w:rPr>
      <w:rFonts w:ascii="Times New Roman"/>
      <w:i/>
      <w:sz w:val="21"/>
    </w:rPr>
  </w:style>
  <w:style w:type="paragraph" w:styleId="8">
    <w:name w:val="Normal (Web)"/>
    <w:basedOn w:val="1"/>
    <w:qFormat/>
    <w:uiPriority w:val="0"/>
    <w:pPr>
      <w:widowControl/>
      <w:spacing w:before="100" w:beforeAutospacing="1" w:after="100" w:afterAutospacing="1"/>
      <w:jc w:val="left"/>
    </w:pPr>
    <w:rPr>
      <w:rFonts w:hAnsi="宋体"/>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2022-11-18T00:22:00Z</dcterms:created>
  <dc:creator>万吉涛</dc:creator>
  <cp:lastModifiedBy>万吉涛</cp:lastModifiedBy>
  <dcterms:modified xsi:type="dcterms:W3CDTF">2022-11-18T00:23:08Z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EADA4BFB84014001AE53B8062E8958E9</vt:lpwstr>
  </property>
</Properties>
</file>